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9C" w:rsidRDefault="002B799C" w:rsidP="002B799C">
      <w:pPr>
        <w:pStyle w:val="1"/>
        <w:rPr>
          <w:sz w:val="20"/>
          <w:szCs w:val="20"/>
        </w:rPr>
      </w:pPr>
    </w:p>
    <w:p w:rsidR="002B799C" w:rsidRPr="002B799C" w:rsidRDefault="002B799C" w:rsidP="002B7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99C">
        <w:rPr>
          <w:rFonts w:ascii="Times New Roman" w:hAnsi="Times New Roman" w:cs="Times New Roman"/>
          <w:b/>
          <w:sz w:val="36"/>
          <w:szCs w:val="36"/>
        </w:rPr>
        <w:t>Комитет образования Еврейской автономной области</w:t>
      </w:r>
    </w:p>
    <w:p w:rsidR="002B799C" w:rsidRPr="002B799C" w:rsidRDefault="002B799C" w:rsidP="002B7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99C">
        <w:rPr>
          <w:rFonts w:ascii="Times New Roman" w:hAnsi="Times New Roman" w:cs="Times New Roman"/>
          <w:b/>
          <w:sz w:val="36"/>
          <w:szCs w:val="36"/>
        </w:rPr>
        <w:t xml:space="preserve">Областное государственное профессиональное </w:t>
      </w:r>
    </w:p>
    <w:p w:rsidR="002B799C" w:rsidRPr="002B799C" w:rsidRDefault="002B799C" w:rsidP="002B7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99C">
        <w:rPr>
          <w:rFonts w:ascii="Times New Roman" w:hAnsi="Times New Roman" w:cs="Times New Roman"/>
          <w:b/>
          <w:sz w:val="36"/>
          <w:szCs w:val="36"/>
        </w:rPr>
        <w:t xml:space="preserve">образовательное бюджетное учреждение </w:t>
      </w:r>
    </w:p>
    <w:p w:rsidR="002B799C" w:rsidRPr="002B799C" w:rsidRDefault="002B799C" w:rsidP="002B7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99C">
        <w:rPr>
          <w:rFonts w:ascii="Times New Roman" w:hAnsi="Times New Roman" w:cs="Times New Roman"/>
          <w:b/>
          <w:sz w:val="36"/>
          <w:szCs w:val="36"/>
        </w:rPr>
        <w:t>«Сельскохозяйственный техникум»</w:t>
      </w:r>
    </w:p>
    <w:p w:rsidR="00194114" w:rsidRDefault="00194114" w:rsidP="002B799C">
      <w:pPr>
        <w:pStyle w:val="1"/>
        <w:ind w:left="-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52925" cy="1609725"/>
            <wp:effectExtent l="0" t="0" r="9525" b="9525"/>
            <wp:docPr id="2" name="Рисунок 2" descr="6824775.wm_w_480.Логотип+компании+РН-Сахалинморнефте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6824775.wm_w_480.Логотип+компании+РН-Сахалинморнефтега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4362450" cy="2171700"/>
            <wp:effectExtent l="0" t="0" r="0" b="0"/>
            <wp:docPr id="1" name="Рисунок 1" descr="фото Роснеф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Роснеф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4" w:rsidRDefault="00194114" w:rsidP="00194114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Исследовательская работа</w:t>
      </w:r>
    </w:p>
    <w:p w:rsidR="00194114" w:rsidRDefault="00194114" w:rsidP="00194114">
      <w:pPr>
        <w:pStyle w:val="1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Анализ финансового положения и эффективности деятельности</w:t>
      </w:r>
      <w:r>
        <w:rPr>
          <w:sz w:val="32"/>
          <w:szCs w:val="32"/>
        </w:rPr>
        <w:br/>
        <w:t>Общество с Ограниченной Ответственностью нефтяная компания Роснефть-Сахалинморнефтегаз (ООО «РН-Сахалинморнефтегаз») за период с 01.01.2013 по 31.12.2014</w:t>
      </w:r>
    </w:p>
    <w:p w:rsidR="00194114" w:rsidRDefault="00194114" w:rsidP="00194114">
      <w:pPr>
        <w:pStyle w:val="1"/>
        <w:jc w:val="center"/>
        <w:rPr>
          <w:sz w:val="32"/>
          <w:szCs w:val="32"/>
        </w:rPr>
      </w:pPr>
    </w:p>
    <w:p w:rsidR="00194114" w:rsidRDefault="00194114" w:rsidP="0019411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Выполнила: Кузнецова Регина студентка бухгалтерского отделения</w:t>
      </w:r>
    </w:p>
    <w:p w:rsidR="00194114" w:rsidRDefault="00194114" w:rsidP="0019411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Руководитель: Шилобокова Н.В. преподаватель высшей категории экономических дисциплин</w:t>
      </w:r>
    </w:p>
    <w:p w:rsidR="00194114" w:rsidRPr="00194114" w:rsidRDefault="005C11B5" w:rsidP="00194114">
      <w:pPr>
        <w:spacing w:before="100" w:beforeAutospacing="1" w:after="100" w:afterAutospacing="1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94114" w:rsidRDefault="00194114" w:rsidP="0019411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14" w:rsidRPr="005C11B5" w:rsidRDefault="00194114" w:rsidP="001941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194114" w:rsidRDefault="00194114" w:rsidP="001941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19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5A6C5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="001921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94114" w:rsidRPr="00194114" w:rsidRDefault="00194114" w:rsidP="001941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Анализ финансового положения</w:t>
      </w:r>
      <w:r w:rsidR="0019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</w:t>
      </w:r>
      <w:r w:rsidR="005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19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9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4114" w:rsidRPr="00194114" w:rsidRDefault="002B799C" w:rsidP="001941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1.1" w:history="1">
        <w:r w:rsidR="00194114" w:rsidRPr="001941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1.1. Структура имущества и источники его формирования</w:t>
        </w:r>
      </w:hyperlink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……………</w:t>
      </w:r>
      <w:r w:rsidR="005A6C5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………</w:t>
      </w:r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3</w:t>
      </w:r>
    </w:p>
    <w:p w:rsidR="00194114" w:rsidRPr="00194114" w:rsidRDefault="002B799C" w:rsidP="001941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anchor="1.2" w:history="1">
        <w:r w:rsidR="00194114" w:rsidRPr="001941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1.2. Оценка стоимости чистых активов </w:t>
        </w:r>
      </w:hyperlink>
      <w:r w:rsidR="00194114" w:rsidRPr="00194114">
        <w:rPr>
          <w:rFonts w:ascii="Times New Roman" w:hAnsi="Times New Roman" w:cs="Times New Roman"/>
          <w:sz w:val="28"/>
          <w:szCs w:val="28"/>
        </w:rPr>
        <w:t>компании</w:t>
      </w:r>
      <w:r w:rsidR="001921E4">
        <w:rPr>
          <w:rFonts w:ascii="Times New Roman" w:hAnsi="Times New Roman" w:cs="Times New Roman"/>
          <w:sz w:val="28"/>
          <w:szCs w:val="28"/>
        </w:rPr>
        <w:t>…………………….....</w:t>
      </w:r>
      <w:r w:rsidR="005A6C5C">
        <w:rPr>
          <w:rFonts w:ascii="Times New Roman" w:hAnsi="Times New Roman" w:cs="Times New Roman"/>
          <w:sz w:val="28"/>
          <w:szCs w:val="28"/>
        </w:rPr>
        <w:t>..........</w:t>
      </w:r>
      <w:r w:rsidR="001921E4">
        <w:rPr>
          <w:rFonts w:ascii="Times New Roman" w:hAnsi="Times New Roman" w:cs="Times New Roman"/>
          <w:sz w:val="28"/>
          <w:szCs w:val="28"/>
        </w:rPr>
        <w:t>5</w:t>
      </w:r>
    </w:p>
    <w:p w:rsidR="00194114" w:rsidRPr="00194114" w:rsidRDefault="00194114" w:rsidP="001941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Структура заемного капитала</w:t>
      </w:r>
      <w:r w:rsidR="0019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</w:t>
      </w:r>
      <w:r w:rsidR="005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="0019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194114" w:rsidRPr="00194114" w:rsidRDefault="002B799C" w:rsidP="001941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1.3" w:history="1">
        <w:r w:rsidR="00194114" w:rsidRPr="001941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1.4. Анализ финансовой устойчивости </w:t>
        </w:r>
      </w:hyperlink>
      <w:r w:rsidR="00194114" w:rsidRPr="00194114">
        <w:rPr>
          <w:rFonts w:ascii="Times New Roman" w:hAnsi="Times New Roman" w:cs="Times New Roman"/>
          <w:sz w:val="28"/>
          <w:szCs w:val="28"/>
        </w:rPr>
        <w:t>компании</w:t>
      </w:r>
      <w:r w:rsidR="001921E4">
        <w:rPr>
          <w:rFonts w:ascii="Times New Roman" w:hAnsi="Times New Roman" w:cs="Times New Roman"/>
          <w:sz w:val="28"/>
          <w:szCs w:val="28"/>
        </w:rPr>
        <w:t>………………………</w:t>
      </w:r>
      <w:r w:rsidR="005A6C5C">
        <w:rPr>
          <w:rFonts w:ascii="Times New Roman" w:hAnsi="Times New Roman" w:cs="Times New Roman"/>
          <w:sz w:val="28"/>
          <w:szCs w:val="28"/>
        </w:rPr>
        <w:t>………</w:t>
      </w:r>
      <w:r w:rsidR="001921E4">
        <w:rPr>
          <w:rFonts w:ascii="Times New Roman" w:hAnsi="Times New Roman" w:cs="Times New Roman"/>
          <w:sz w:val="28"/>
          <w:szCs w:val="28"/>
        </w:rPr>
        <w:t>7</w:t>
      </w:r>
    </w:p>
    <w:p w:rsidR="00194114" w:rsidRPr="00194114" w:rsidRDefault="002B799C" w:rsidP="001941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1.3.1" w:history="1">
        <w:r w:rsidR="00194114" w:rsidRPr="001941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1.4.1. Основные показатели финансовой устойчивости </w:t>
        </w:r>
      </w:hyperlink>
      <w:r w:rsidR="00194114" w:rsidRPr="00194114">
        <w:rPr>
          <w:rFonts w:ascii="Times New Roman" w:hAnsi="Times New Roman" w:cs="Times New Roman"/>
          <w:sz w:val="28"/>
          <w:szCs w:val="28"/>
        </w:rPr>
        <w:t>компании</w:t>
      </w:r>
      <w:r w:rsidR="001921E4">
        <w:rPr>
          <w:rFonts w:ascii="Times New Roman" w:hAnsi="Times New Roman" w:cs="Times New Roman"/>
          <w:sz w:val="28"/>
          <w:szCs w:val="28"/>
        </w:rPr>
        <w:t>……</w:t>
      </w:r>
      <w:r w:rsidR="005A6C5C">
        <w:rPr>
          <w:rFonts w:ascii="Times New Roman" w:hAnsi="Times New Roman" w:cs="Times New Roman"/>
          <w:sz w:val="28"/>
          <w:szCs w:val="28"/>
        </w:rPr>
        <w:t>………</w:t>
      </w:r>
      <w:r w:rsidR="001921E4">
        <w:rPr>
          <w:rFonts w:ascii="Times New Roman" w:hAnsi="Times New Roman" w:cs="Times New Roman"/>
          <w:sz w:val="28"/>
          <w:szCs w:val="28"/>
        </w:rPr>
        <w:t>7</w:t>
      </w:r>
    </w:p>
    <w:p w:rsidR="00194114" w:rsidRPr="00194114" w:rsidRDefault="002B799C" w:rsidP="001921E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1.3.2" w:history="1">
        <w:r w:rsidR="00194114" w:rsidRPr="00DC5B9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1.4.2.Анализ финансовой устойчивости по величине излишка (недостатка) собственных оборотных средств</w:t>
        </w:r>
      </w:hyperlink>
      <w:r w:rsidR="001921E4" w:rsidRPr="00DC5B9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</w:t>
      </w:r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………………………………………</w:t>
      </w:r>
      <w:r w:rsidR="005A6C5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………</w:t>
      </w:r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9</w:t>
      </w:r>
    </w:p>
    <w:p w:rsidR="00194114" w:rsidRPr="00194114" w:rsidRDefault="002B799C" w:rsidP="001941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1.4" w:history="1">
        <w:r w:rsidR="00194114" w:rsidRPr="001941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1.5. Анализ ликвидности</w:t>
        </w:r>
      </w:hyperlink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…………………………………………………</w:t>
      </w:r>
      <w:r w:rsidR="005A6C5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……...</w:t>
      </w:r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10</w:t>
      </w:r>
    </w:p>
    <w:p w:rsidR="00194114" w:rsidRPr="00194114" w:rsidRDefault="002B799C" w:rsidP="006975E5">
      <w:pPr>
        <w:spacing w:after="0" w:line="276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1.4.1" w:history="1">
        <w:r w:rsidR="00194114" w:rsidRPr="001941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1.5.1. Расчет коэффициентов ликвидности</w:t>
        </w:r>
      </w:hyperlink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………………………………</w:t>
      </w:r>
      <w:r w:rsidR="006975E5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</w:t>
      </w:r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10</w:t>
      </w:r>
    </w:p>
    <w:p w:rsidR="00194114" w:rsidRPr="00DC5B9C" w:rsidRDefault="002B799C" w:rsidP="00DC5B9C">
      <w:hyperlink r:id="rId16" w:anchor="1.4.2" w:history="1">
        <w:r w:rsidR="00194114" w:rsidRPr="001941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1.5.2. Анализ соотношения активов по степени ликвидности и обязательств по сроку погашения</w:t>
        </w:r>
      </w:hyperlink>
      <w:r w:rsidR="001921E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………………………………………………………</w:t>
      </w:r>
      <w:r w:rsidR="00DC5B9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</w:t>
      </w:r>
      <w:r w:rsidR="005A6C5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…...</w:t>
      </w:r>
      <w:r w:rsidR="00DC5B9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11</w:t>
      </w: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</w:t>
      </w:r>
      <w:r w:rsidR="00DC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…………………………………………………………………….....</w:t>
      </w:r>
      <w:r w:rsidR="005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</w:t>
      </w:r>
      <w:r w:rsidR="00DC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194114" w:rsidRDefault="00194114" w:rsidP="0019411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r w:rsidR="00DC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</w:t>
      </w:r>
      <w:r w:rsidR="005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DC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194114" w:rsidRDefault="00194114" w:rsidP="00194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1B5" w:rsidRDefault="005C11B5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1B5" w:rsidRDefault="005C11B5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1B5" w:rsidRDefault="005C11B5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1B5" w:rsidRDefault="005C11B5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1B5" w:rsidRDefault="005C11B5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1B5" w:rsidRDefault="005C11B5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114" w:rsidRDefault="00194114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C62" w:rsidRDefault="003F6C62" w:rsidP="0019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14" w:rsidRDefault="00194114" w:rsidP="00194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194114" w:rsidRDefault="00194114" w:rsidP="00194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 любого предприятия во многом зависит от грамотного управления его финансами. Для удовлетворения общих потребностей заинтересованных пользователей в бухгалтерском учете формируется информация о финансовом положении предприятия, финансовых результатах ее деятельности и изменениях в ее финансовом положении.</w:t>
      </w:r>
    </w:p>
    <w:p w:rsidR="00194114" w:rsidRDefault="00194114" w:rsidP="001941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положение предприятия определяется ее активами, структурой обязательств и капитала предприятия, а также способностью адаптироваться к изменениям в среде функционирования. </w:t>
      </w:r>
    </w:p>
    <w:p w:rsidR="00194114" w:rsidRDefault="00194114" w:rsidP="001941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Таким образом, рассмотрение вопроса о сущности и формировании финансовых результатов хозяйствующего субъекта является важным и актуальным в условиях рыночной экономики. Актуальность данного вопроса определяет выбор темы и содержание данной </w:t>
      </w:r>
      <w:r>
        <w:rPr>
          <w:color w:val="0D0B0B"/>
        </w:rPr>
        <w:t>исследовательской работы</w:t>
      </w:r>
      <w:r>
        <w:rPr>
          <w:color w:val="000000" w:themeColor="text1"/>
        </w:rPr>
        <w:t>.</w:t>
      </w:r>
    </w:p>
    <w:p w:rsidR="00194114" w:rsidRDefault="00194114" w:rsidP="00E11693">
      <w:pPr>
        <w:spacing w:after="0" w:line="240" w:lineRule="auto"/>
        <w:ind w:left="113" w:right="57" w:firstLine="558"/>
        <w:jc w:val="both"/>
        <w:rPr>
          <w:rFonts w:ascii="Times New Roman" w:eastAsia="Times New Roman" w:hAnsi="Times New Roman" w:cs="Times New Roman"/>
          <w:color w:val="0D0B0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B0B"/>
          <w:sz w:val="24"/>
          <w:szCs w:val="24"/>
          <w:lang w:eastAsia="ru-RU"/>
        </w:rPr>
        <w:t>Цель моей исследовательской работы – изучение порядка формирования финансовых результатов в бухгалтерском учете, проведение анализа прибыли, выявление основных недостатков и проблем финансово - хозяйственной деятельности предприятия, разработка рекомендаций по повышению эффективности использования финансовых ресурсов.</w:t>
      </w:r>
    </w:p>
    <w:p w:rsidR="00194114" w:rsidRDefault="00194114" w:rsidP="00E11693">
      <w:pPr>
        <w:spacing w:after="0" w:line="240" w:lineRule="auto"/>
        <w:ind w:left="113" w:right="57" w:firstLine="558"/>
        <w:jc w:val="both"/>
        <w:rPr>
          <w:rFonts w:ascii="Times New Roman" w:eastAsia="Times New Roman" w:hAnsi="Times New Roman" w:cs="Times New Roman"/>
          <w:color w:val="0D0B0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исследования является общество с ограниченной ответственностью «РН-Сахалинморнефтегаз», </w:t>
      </w:r>
      <w:r>
        <w:rPr>
          <w:rFonts w:ascii="Times New Roman" w:eastAsia="Times New Roman" w:hAnsi="Times New Roman" w:cs="Times New Roman"/>
          <w:color w:val="0D0B0B"/>
          <w:sz w:val="24"/>
          <w:szCs w:val="24"/>
          <w:lang w:eastAsia="ru-RU"/>
        </w:rPr>
        <w:t>прибыль предприятия, процесс ее получения и финансовые результаты.</w:t>
      </w:r>
    </w:p>
    <w:p w:rsidR="00194114" w:rsidRDefault="00194114" w:rsidP="00E11693">
      <w:pPr>
        <w:spacing w:after="0" w:line="240" w:lineRule="auto"/>
        <w:ind w:left="113" w:right="57" w:firstLine="558"/>
        <w:jc w:val="both"/>
        <w:rPr>
          <w:rFonts w:ascii="Times New Roman" w:eastAsia="Times New Roman" w:hAnsi="Times New Roman" w:cs="Times New Roman"/>
          <w:color w:val="0D0B0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B0B"/>
          <w:sz w:val="24"/>
          <w:szCs w:val="24"/>
          <w:lang w:eastAsia="ru-RU"/>
        </w:rPr>
        <w:t>Источниками информации для выполнения работы являются: сборники научных трудов, статистические сборники, периодическая литература, финансовая отчетность ООО «РН-Сахалинморнефтегаз» за 2013-2015 гг. </w:t>
      </w:r>
    </w:p>
    <w:p w:rsidR="00194114" w:rsidRDefault="00194114" w:rsidP="00E11693">
      <w:pPr>
        <w:spacing w:after="0" w:line="240" w:lineRule="auto"/>
        <w:ind w:left="113" w:right="57" w:firstLine="558"/>
        <w:jc w:val="both"/>
        <w:rPr>
          <w:rFonts w:ascii="Times New Roman" w:eastAsia="Times New Roman" w:hAnsi="Times New Roman" w:cs="Times New Roman"/>
          <w:color w:val="0D0B0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Теоретической и методической основой работы послужили нормативно-законодательные акты РФ по бухгалтерскому учету, учебная и учебно-методическая литература, информация из специализированных периодических и статистических источников, данные отчетности конкретного предприятия.</w:t>
      </w:r>
    </w:p>
    <w:p w:rsidR="00194114" w:rsidRPr="005C11B5" w:rsidRDefault="00194114" w:rsidP="001941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1"/>
      <w:bookmarkEnd w:id="1"/>
      <w:r w:rsidRPr="005C1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АНАЛИЗ ФИНАНСОВОГО ПОЛОЖЕНИЯ </w:t>
      </w:r>
    </w:p>
    <w:p w:rsidR="00194114" w:rsidRDefault="00194114" w:rsidP="00194114">
      <w:pPr>
        <w:pStyle w:val="a4"/>
        <w:jc w:val="both"/>
      </w:pPr>
      <w:bookmarkStart w:id="2" w:name="1.1"/>
      <w:bookmarkEnd w:id="2"/>
      <w:r>
        <w:t xml:space="preserve">     Приведенный ниже анализ финансового состояния Общество с Ограниченной Ответственностью нефтяная компания Роснефть-Сахалинморнефтегаз (ООО «РН-Сахалинморнефтегаз») за период с 01.01.2013 по 31.12.2014 (2 года). Деятельность ООО «РН-Сахалинморнефтегаз» отнесена к добывающей отрасли (предоставление услуг по добычи нефти и газа), (классы по ОКВЭД – 11 20), что было учтено при качественной оценке значений финансовых показателей.</w:t>
      </w:r>
    </w:p>
    <w:p w:rsidR="00194114" w:rsidRPr="005C11B5" w:rsidRDefault="00194114" w:rsidP="00194114">
      <w:pPr>
        <w:pStyle w:val="3"/>
        <w:jc w:val="center"/>
        <w:rPr>
          <w:sz w:val="24"/>
          <w:szCs w:val="24"/>
        </w:rPr>
      </w:pPr>
      <w:r w:rsidRPr="005C11B5">
        <w:rPr>
          <w:sz w:val="24"/>
          <w:szCs w:val="24"/>
        </w:rPr>
        <w:t>1.1. Структура имущества и источники его формирования</w:t>
      </w:r>
    </w:p>
    <w:tbl>
      <w:tblPr>
        <w:tblW w:w="50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07"/>
        <w:gridCol w:w="1053"/>
        <w:gridCol w:w="1041"/>
        <w:gridCol w:w="960"/>
        <w:gridCol w:w="1435"/>
        <w:gridCol w:w="1435"/>
        <w:gridCol w:w="783"/>
        <w:gridCol w:w="794"/>
      </w:tblGrid>
      <w:tr w:rsidR="00194114" w:rsidTr="00194114">
        <w:trPr>
          <w:trHeight w:val="584"/>
          <w:jc w:val="center"/>
        </w:trPr>
        <w:tc>
          <w:tcPr>
            <w:tcW w:w="10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02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8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за анализируемый период</w:t>
            </w:r>
          </w:p>
        </w:tc>
      </w:tr>
      <w:tr w:rsidR="00194114" w:rsidTr="0019411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3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% к валюте баланса</w:t>
            </w:r>
          </w:p>
        </w:tc>
        <w:tc>
          <w:tcPr>
            <w:tcW w:w="4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(гр.4-гр.2)</w:t>
            </w:r>
          </w:p>
        </w:tc>
        <w:tc>
          <w:tcPr>
            <w:tcW w:w="4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((гр.4-гр.2) : гр.2)</w:t>
            </w:r>
          </w:p>
        </w:tc>
      </w:tr>
      <w:tr w:rsidR="00194114" w:rsidTr="0019411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анализируемого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периода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(31.12.2012)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анализируемого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периода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(31.12.2014)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14" w:rsidTr="00194114">
        <w:trPr>
          <w:jc w:val="center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Актив</w:t>
            </w:r>
          </w:p>
        </w:tc>
      </w:tr>
      <w:tr w:rsidR="00194114" w:rsidTr="00194114">
        <w:trPr>
          <w:trHeight w:val="556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F6C62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3F6C62">
              <w:rPr>
                <w:rFonts w:ascii="Times New Roman" w:hAnsi="Times New Roman" w:cs="Times New Roman"/>
              </w:rPr>
              <w:t xml:space="preserve"> активы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2 234917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2 091173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2 008055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226862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10,2</w:t>
            </w:r>
          </w:p>
        </w:tc>
      </w:tr>
      <w:tr w:rsidR="00194114" w:rsidTr="00194114">
        <w:trPr>
          <w:trHeight w:val="759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в том числе: основные средства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1 873411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1 727573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1 648437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224974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194114" w:rsidTr="00194114">
        <w:trPr>
          <w:trHeight w:val="634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12,9</w:t>
            </w:r>
          </w:p>
        </w:tc>
      </w:tr>
      <w:tr w:rsidR="00194114" w:rsidTr="00194114">
        <w:trPr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2. Оборотные, всего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2 318995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2 646560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3 177321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3F6C62" w:rsidP="003F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19411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194114" w:rsidTr="00194114">
        <w:trPr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в том числе:</w:t>
            </w:r>
            <w:r w:rsidRPr="003F6C62">
              <w:rPr>
                <w:rFonts w:ascii="Times New Roman" w:hAnsi="Times New Roman" w:cs="Times New Roman"/>
              </w:rPr>
              <w:br/>
              <w:t>запасы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693 960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528 129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771823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77863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194114" w:rsidTr="00194114">
        <w:trPr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1 558821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2 076450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2 292713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773892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194114" w:rsidTr="00194114">
        <w:trPr>
          <w:trHeight w:val="1247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 xml:space="preserve">денежные средства и краткосрочные финансовые вложения 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72,5</w:t>
            </w:r>
          </w:p>
        </w:tc>
      </w:tr>
      <w:tr w:rsidR="00194114" w:rsidTr="00194114">
        <w:trPr>
          <w:trHeight w:val="165"/>
          <w:jc w:val="center"/>
        </w:trPr>
        <w:tc>
          <w:tcPr>
            <w:tcW w:w="108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  <w:bCs/>
              </w:rPr>
            </w:pPr>
            <w:r w:rsidRPr="003F6C62">
              <w:rPr>
                <w:rFonts w:ascii="Times New Roman" w:hAnsi="Times New Roman" w:cs="Times New Roman"/>
                <w:bCs/>
              </w:rPr>
              <w:t>Валюта баланса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b w:val="0"/>
                <w:sz w:val="24"/>
                <w:szCs w:val="24"/>
              </w:rPr>
              <w:t>4 553912</w:t>
            </w: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b w:val="0"/>
                <w:sz w:val="24"/>
                <w:szCs w:val="24"/>
              </w:rPr>
              <w:t>4 737733</w:t>
            </w:r>
          </w:p>
        </w:tc>
        <w:tc>
          <w:tcPr>
            <w:tcW w:w="52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3F6C62" w:rsidP="003F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</w:t>
            </w:r>
            <w:r w:rsidR="00194114" w:rsidRPr="003F6C62">
              <w:rPr>
                <w:rStyle w:val="a6"/>
                <w:b w:val="0"/>
                <w:sz w:val="24"/>
                <w:szCs w:val="24"/>
              </w:rPr>
              <w:t>125376</w:t>
            </w:r>
          </w:p>
        </w:tc>
        <w:tc>
          <w:tcPr>
            <w:tcW w:w="6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b w:val="0"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b w:val="0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4114" w:rsidTr="00194114">
        <w:trPr>
          <w:jc w:val="center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  <w:b/>
                <w:bCs/>
              </w:rPr>
              <w:t>Пассив</w:t>
            </w:r>
          </w:p>
        </w:tc>
      </w:tr>
      <w:tr w:rsidR="00194114" w:rsidTr="00194114">
        <w:trPr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3. Собственный капитал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2 695222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2 964408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3 006343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3F6C62" w:rsidP="003F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1941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94114" w:rsidTr="00194114">
        <w:trPr>
          <w:trHeight w:val="912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4. Долгосрочные обязательства, всего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23 932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13 920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13 259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10 673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44,6</w:t>
            </w:r>
          </w:p>
        </w:tc>
      </w:tr>
      <w:tr w:rsidR="00194114" w:rsidTr="00194114">
        <w:trPr>
          <w:trHeight w:val="630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в том числе:</w:t>
            </w:r>
            <w:r w:rsidRPr="003F6C62">
              <w:rPr>
                <w:rFonts w:ascii="Times New Roman" w:hAnsi="Times New Roman" w:cs="Times New Roman"/>
              </w:rPr>
              <w:br/>
              <w:t>заемные средства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114" w:rsidTr="00194114">
        <w:trPr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5. Краткосрочные обязательства*, всего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1 834758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1 759280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2 095945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3F6C62" w:rsidP="003F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19411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94114" w:rsidTr="00194114">
        <w:trPr>
          <w:trHeight w:val="915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в том числе:</w:t>
            </w:r>
            <w:r w:rsidRPr="003F6C62">
              <w:rPr>
                <w:rFonts w:ascii="Times New Roman" w:hAnsi="Times New Roman" w:cs="Times New Roman"/>
              </w:rPr>
              <w:br/>
              <w:t>заемные средства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114" w:rsidTr="00194114">
        <w:trPr>
          <w:trHeight w:val="195"/>
          <w:jc w:val="center"/>
        </w:trPr>
        <w:tc>
          <w:tcPr>
            <w:tcW w:w="1083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1 700902</w:t>
            </w: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1 629758</w:t>
            </w:r>
          </w:p>
        </w:tc>
        <w:tc>
          <w:tcPr>
            <w:tcW w:w="523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1 958053</w:t>
            </w:r>
          </w:p>
        </w:tc>
        <w:tc>
          <w:tcPr>
            <w:tcW w:w="672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673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194114" w:rsidRDefault="003F6C62" w:rsidP="003F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19411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4114" w:rsidTr="00194114">
        <w:trPr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3F6C62" w:rsidRDefault="00194114">
            <w:pPr>
              <w:rPr>
                <w:rFonts w:ascii="Times New Roman" w:hAnsi="Times New Roman" w:cs="Times New Roman"/>
              </w:rPr>
            </w:pPr>
            <w:r w:rsidRPr="003F6C62">
              <w:rPr>
                <w:rFonts w:ascii="Times New Roman" w:hAnsi="Times New Roman" w:cs="Times New Roman"/>
                <w:bCs/>
              </w:rPr>
              <w:t>Валюта баланса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4 553912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4 737733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5 125376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3F6C62" w:rsidP="003F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194114" w:rsidRPr="003F6C6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Pr="003F6C62" w:rsidRDefault="0019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</w:tbl>
    <w:p w:rsidR="00194114" w:rsidRDefault="00194114" w:rsidP="0019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Без доходов будущих периодов, включенных в собственный капитал.</w:t>
      </w:r>
    </w:p>
    <w:p w:rsidR="005C11B5" w:rsidRDefault="00194114" w:rsidP="003F6C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В активах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доля текущих активов составляет 50,9%, а внеоборотных средств 49,1%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Активы компании</w:t>
      </w:r>
      <w:r w:rsidR="00E11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весь период увеличились на 571 464 тыс. руб. (на 12,6%).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Учитывая увеличение активов, необходимо отметить, что и собственный капитал также увеличился на 11,6%.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Увеличение собственного капитала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="00E11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относительно общего изменения активов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позитивным фактором и свидетельствует о росте его финансовой устойчивости.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Доля основных средств в общей структуре активов за отчетный год составила 32.2% что говорит о том, что предприятие имеет легкую структуру активов, что свидетельствует о мобильности имущества.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анализируемый период объемы дебиторской задолженности выросли, что является негативным изменением и может быть вызвано проблемами, связанными с оплатой продукции (работ, услуг)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либо активным предоставлением потребительского кредита покупателям, т.е. отвлечением части текущих активов и иммобилизации части оборотных средств из производственного процесса.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Компания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отчетный год имеет активное сальдо задолженности (дебиторская задолженность превышает кредиторскую). В этом случае </w:t>
      </w:r>
      <w:r>
        <w:rPr>
          <w:rFonts w:ascii="Times New Roman" w:hAnsi="Times New Roman" w:cs="Times New Roman"/>
          <w:sz w:val="24"/>
          <w:szCs w:val="24"/>
        </w:rPr>
        <w:t>компания</w:t>
      </w:r>
      <w:r w:rsidR="005C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предоставляло своим покупателям бесплатный коммерческий кредит в размере, превышающем средства, полученные в виде отсрочек платежей коммерческим кредиторам.                                 </w:t>
      </w:r>
    </w:p>
    <w:p w:rsidR="00194114" w:rsidRDefault="005C11B5" w:rsidP="003F6C6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</w:t>
      </w:r>
      <w:r w:rsidR="00194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роста оборотных активов больше темпа роста внеоборотных активов. Такое соотношение характеризует тенденцию к ускорению оборачиваемости оборотных активов.                                                                              </w:t>
      </w:r>
      <w:proofErr w:type="gramStart"/>
      <w:r w:rsidR="0019411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  <w:lang w:eastAsia="ru-RU"/>
        </w:rPr>
        <w:t>.</w:t>
      </w:r>
      <w:r w:rsidR="00194114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="00194114">
        <w:rPr>
          <w:rFonts w:ascii="Times New Roman" w:hAnsi="Times New Roman" w:cs="Times New Roman"/>
          <w:sz w:val="24"/>
          <w:szCs w:val="24"/>
        </w:rPr>
        <w:t xml:space="preserve"> величины активов компании связан с ростом следующих позиций актива баланса:</w:t>
      </w:r>
    </w:p>
    <w:p w:rsidR="00194114" w:rsidRDefault="00194114" w:rsidP="003F6C62">
      <w:pPr>
        <w:spacing w:before="48" w:after="48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дебиторская задолженность (платежи по которой ожидаются в течение 12 месяцев после отчетной даты) – 773 892 тыс. руб. (47,1%)</w:t>
      </w:r>
    </w:p>
    <w:p w:rsidR="00194114" w:rsidRDefault="00194114" w:rsidP="003F6C62">
      <w:pPr>
        <w:spacing w:before="48" w:after="48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запасы – 77 863 тыс. руб. (11,2%).</w:t>
      </w:r>
    </w:p>
    <w:p w:rsidR="00194114" w:rsidRDefault="00194114" w:rsidP="003F6C62">
      <w:pPr>
        <w:spacing w:before="48" w:after="48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Одновременно, в пассиве баланса прирост наблюдается по строкам:</w:t>
      </w:r>
    </w:p>
    <w:p w:rsidR="00194114" w:rsidRDefault="00194114" w:rsidP="003F6C62">
      <w:pPr>
        <w:spacing w:before="48" w:after="48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кредиторская задолженность: прочие кредиторы – 89 907 тыс. руб. (31,3%)</w:t>
      </w:r>
    </w:p>
    <w:p w:rsidR="00194114" w:rsidRDefault="00194114" w:rsidP="003F6C62">
      <w:pPr>
        <w:spacing w:before="48" w:after="48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кредиторская задолженность: поставщики и подрядчики – 52 840 тыс. руб. (4,3%).</w:t>
      </w:r>
    </w:p>
    <w:p w:rsidR="00194114" w:rsidRDefault="005C11B5" w:rsidP="003F6C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41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отрицательно изменившихся статей баланса можно выделить "Основные средства" в активе и "</w:t>
      </w:r>
      <w:r w:rsidR="00194114">
        <w:rPr>
          <w:rFonts w:ascii="Times New Roman" w:hAnsi="Times New Roman" w:cs="Times New Roman"/>
          <w:sz w:val="24"/>
          <w:szCs w:val="24"/>
        </w:rPr>
        <w:t>Долгосрочные обязательства</w:t>
      </w:r>
      <w:r w:rsidR="00194114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пассиве (224 974 тыс. руб. и 10 673 тыс. руб. соответственно).</w:t>
      </w:r>
    </w:p>
    <w:p w:rsidR="00194114" w:rsidRPr="005C11B5" w:rsidRDefault="00194114" w:rsidP="005C11B5">
      <w:pPr>
        <w:spacing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2014-й год собстве</w:t>
      </w:r>
      <w:r w:rsid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капитал заметно вырос</w:t>
      </w:r>
      <w:r w:rsidR="005C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06343 тыс.</w:t>
      </w:r>
      <w:r w:rsidR="005C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руб.(</w:t>
      </w:r>
      <w:proofErr w:type="gramEnd"/>
      <w:r w:rsid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311121тыс.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руб.).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3" w:name="1.2"/>
      <w:bookmarkEnd w:id="3"/>
      <w:r w:rsidRPr="005C11B5">
        <w:rPr>
          <w:rFonts w:ascii="Times New Roman" w:hAnsi="Times New Roman" w:cs="Times New Roman"/>
          <w:b/>
          <w:sz w:val="24"/>
          <w:szCs w:val="24"/>
        </w:rPr>
        <w:t>1.2. Оценка стоимости чистых активов компании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993"/>
        <w:gridCol w:w="1000"/>
        <w:gridCol w:w="1000"/>
        <w:gridCol w:w="1001"/>
        <w:gridCol w:w="1428"/>
        <w:gridCol w:w="1429"/>
        <w:gridCol w:w="861"/>
        <w:gridCol w:w="702"/>
      </w:tblGrid>
      <w:tr w:rsidR="00194114" w:rsidTr="00194114">
        <w:trPr>
          <w:jc w:val="center"/>
        </w:trPr>
        <w:tc>
          <w:tcPr>
            <w:tcW w:w="1977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8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194114" w:rsidTr="00194114">
        <w:trPr>
          <w:trHeight w:val="678"/>
          <w:jc w:val="center"/>
        </w:trPr>
        <w:tc>
          <w:tcPr>
            <w:tcW w:w="1977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iCs/>
              </w:rPr>
              <w:t>тыс. руб.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валюте баланса</w:t>
            </w:r>
          </w:p>
        </w:tc>
        <w:tc>
          <w:tcPr>
            <w:tcW w:w="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тыс. руб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br/>
              <w:t>(гр.4-гр.2)</w:t>
            </w:r>
          </w:p>
        </w:tc>
        <w:tc>
          <w:tcPr>
            <w:tcW w:w="6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 %</w:t>
            </w:r>
            <w:r>
              <w:rPr>
                <w:rFonts w:ascii="Times New Roman" w:hAnsi="Times New Roman" w:cs="Times New Roman"/>
              </w:rPr>
              <w:br/>
              <w:t>((гр.4-гр.2) : гр.2)</w:t>
            </w:r>
          </w:p>
        </w:tc>
      </w:tr>
      <w:tr w:rsidR="00194114" w:rsidTr="00194114">
        <w:trPr>
          <w:jc w:val="center"/>
        </w:trPr>
        <w:tc>
          <w:tcPr>
            <w:tcW w:w="1977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31.12. 2012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31.12. 2013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31.12. 2014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</w:t>
            </w:r>
            <w:r>
              <w:rPr>
                <w:rFonts w:ascii="Times New Roman" w:hAnsi="Times New Roman" w:cs="Times New Roman"/>
              </w:rPr>
              <w:br/>
              <w:t>анализируемого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  <w:r>
              <w:rPr>
                <w:rFonts w:ascii="Times New Roman" w:hAnsi="Times New Roman" w:cs="Times New Roman"/>
              </w:rPr>
              <w:br/>
              <w:t>(31.12.2012)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</w:t>
            </w:r>
            <w:r>
              <w:rPr>
                <w:rFonts w:ascii="Times New Roman" w:hAnsi="Times New Roman" w:cs="Times New Roman"/>
              </w:rPr>
              <w:br/>
              <w:t>анализируемого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  <w:r>
              <w:rPr>
                <w:rFonts w:ascii="Times New Roman" w:hAnsi="Times New Roman" w:cs="Times New Roman"/>
              </w:rPr>
              <w:br/>
              <w:t>(31.12.2014)</w:t>
            </w:r>
          </w:p>
        </w:tc>
        <w:tc>
          <w:tcPr>
            <w:tcW w:w="15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4114" w:rsidTr="00194114">
        <w:trPr>
          <w:trHeight w:val="285"/>
          <w:jc w:val="center"/>
        </w:trPr>
        <w:tc>
          <w:tcPr>
            <w:tcW w:w="19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Собственный капитал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2695222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2964533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3016172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320 950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194114" w:rsidTr="00194114">
        <w:trPr>
          <w:trHeight w:val="631"/>
          <w:jc w:val="center"/>
        </w:trPr>
        <w:tc>
          <w:tcPr>
            <w:tcW w:w="197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Чистые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2695222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2964408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3006343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311 121</w:t>
            </w:r>
          </w:p>
        </w:tc>
        <w:tc>
          <w:tcPr>
            <w:tcW w:w="69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194114" w:rsidTr="00194114">
        <w:trPr>
          <w:trHeight w:val="380"/>
          <w:jc w:val="center"/>
        </w:trPr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Уставный капитал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2879435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2879435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2879435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94114" w:rsidTr="00194114">
        <w:trPr>
          <w:trHeight w:val="1010"/>
          <w:jc w:val="center"/>
        </w:trPr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Превышение чистых активов над уставным капиталом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184 213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84 973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126 908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311 121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168,9</w:t>
            </w:r>
          </w:p>
        </w:tc>
      </w:tr>
      <w:tr w:rsidR="00194114" w:rsidTr="00194114">
        <w:trPr>
          <w:trHeight w:val="1625"/>
          <w:jc w:val="center"/>
        </w:trPr>
        <w:tc>
          <w:tcPr>
            <w:tcW w:w="197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Чистый капитал (собственный капитал за вычетом убытков и задолженностей учредителей)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2695222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2964533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3016172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320 950</w:t>
            </w:r>
          </w:p>
        </w:tc>
        <w:tc>
          <w:tcPr>
            <w:tcW w:w="69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</w:t>
            </w:r>
          </w:p>
        </w:tc>
      </w:tr>
    </w:tbl>
    <w:p w:rsidR="00194114" w:rsidRDefault="00194114" w:rsidP="00194114">
      <w:pPr>
        <w:pStyle w:val="a4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shd w:val="clear" w:color="auto" w:fill="FFFFFF"/>
        </w:rPr>
        <w:t xml:space="preserve">Основным источником формирования совокупных активов является собственный </w:t>
      </w:r>
      <w:proofErr w:type="gramStart"/>
      <w:r w:rsidR="003F6C62">
        <w:rPr>
          <w:shd w:val="clear" w:color="auto" w:fill="FFFFFF"/>
        </w:rPr>
        <w:t xml:space="preserve">капитал.  </w:t>
      </w:r>
      <w:r>
        <w:rPr>
          <w:shd w:val="clear" w:color="auto" w:fill="FFFFFF"/>
        </w:rPr>
        <w:t xml:space="preserve"> </w:t>
      </w:r>
      <w:proofErr w:type="gramEnd"/>
      <w:r>
        <w:rPr>
          <w:shd w:val="clear" w:color="auto" w:fill="FFFFFF"/>
        </w:rPr>
        <w:t xml:space="preserve">                                  </w:t>
      </w:r>
      <w:r>
        <w:rPr>
          <w:color w:val="FFFFFF" w:themeColor="background1"/>
          <w:shd w:val="clear" w:color="auto" w:fill="FFFFFF"/>
        </w:rPr>
        <w:t>.</w:t>
      </w:r>
      <w:r>
        <w:t xml:space="preserve">  </w:t>
      </w:r>
      <w:r>
        <w:rPr>
          <w:shd w:val="clear" w:color="auto" w:fill="FFFFFF"/>
        </w:rPr>
        <w:t xml:space="preserve"> Чистые активы </w:t>
      </w:r>
      <w:r>
        <w:t xml:space="preserve">компании </w:t>
      </w:r>
      <w:r>
        <w:rPr>
          <w:shd w:val="clear" w:color="auto" w:fill="FFFFFF"/>
        </w:rPr>
        <w:t xml:space="preserve">на 2014 год ниже уставного капитала на 6,4%. Данное соотношение характеризует финансовое положение </w:t>
      </w:r>
      <w:proofErr w:type="spellStart"/>
      <w:r>
        <w:t>компании</w:t>
      </w:r>
      <w:r>
        <w:rPr>
          <w:shd w:val="clear" w:color="auto" w:fill="FFFFFF"/>
        </w:rPr>
        <w:t>как</w:t>
      </w:r>
      <w:proofErr w:type="spellEnd"/>
      <w:r>
        <w:rPr>
          <w:shd w:val="clear" w:color="auto" w:fill="FFFFFF"/>
        </w:rPr>
        <w:t xml:space="preserve"> удовлетворительное. </w:t>
      </w:r>
      <w:r>
        <w:br/>
      </w:r>
      <w:r>
        <w:rPr>
          <w:shd w:val="clear" w:color="auto" w:fill="FFFFFF"/>
        </w:rPr>
        <w:t xml:space="preserve">Снижение чистых активов над уставным капиталом в 2012 году на 184 213 тыс. руб. говорит об ухудшении финансового положения </w:t>
      </w:r>
      <w:proofErr w:type="spellStart"/>
      <w:r>
        <w:t>компании</w:t>
      </w:r>
      <w:r>
        <w:rPr>
          <w:shd w:val="clear" w:color="auto" w:fill="FFFFFF"/>
        </w:rPr>
        <w:t>по</w:t>
      </w:r>
      <w:proofErr w:type="spellEnd"/>
      <w:r>
        <w:rPr>
          <w:shd w:val="clear" w:color="auto" w:fill="FFFFFF"/>
        </w:rPr>
        <w:t xml:space="preserve"> данному </w:t>
      </w:r>
      <w:proofErr w:type="spellStart"/>
      <w:r>
        <w:rPr>
          <w:shd w:val="clear" w:color="auto" w:fill="FFFFFF"/>
        </w:rPr>
        <w:t>признаку.Увеличение</w:t>
      </w:r>
      <w:proofErr w:type="spellEnd"/>
      <w:r>
        <w:rPr>
          <w:shd w:val="clear" w:color="auto" w:fill="FFFFFF"/>
        </w:rPr>
        <w:t xml:space="preserve"> чистого капитала на конец отчетного периода на 11.91% будет способствовать росту финансовой устойчивости </w:t>
      </w:r>
      <w:r>
        <w:t>компании</w:t>
      </w:r>
      <w:r>
        <w:rPr>
          <w:shd w:val="clear" w:color="auto" w:fill="FFFFFF"/>
        </w:rPr>
        <w:t>.</w:t>
      </w:r>
    </w:p>
    <w:p w:rsidR="00194114" w:rsidRDefault="005C11B5" w:rsidP="00194114">
      <w:pPr>
        <w:pStyle w:val="a4"/>
        <w:spacing w:before="0" w:beforeAutospacing="0"/>
        <w:jc w:val="both"/>
      </w:pPr>
      <w:r>
        <w:t xml:space="preserve">     </w:t>
      </w:r>
      <w:r w:rsidR="00194114">
        <w:t>Наглядное изменение чистых активов и уставного капитал представлено на следующем диаграмме.</w:t>
      </w:r>
    </w:p>
    <w:p w:rsidR="00194114" w:rsidRDefault="00194114" w:rsidP="00194114">
      <w:pPr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3514E230" wp14:editId="7D3627BF">
            <wp:extent cx="4752975" cy="22764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4" w:name="1.3"/>
      <w:bookmarkEnd w:id="4"/>
    </w:p>
    <w:p w:rsidR="00194114" w:rsidRPr="005C11B5" w:rsidRDefault="00194114" w:rsidP="00194114">
      <w:pPr>
        <w:pStyle w:val="3"/>
        <w:jc w:val="center"/>
        <w:rPr>
          <w:sz w:val="24"/>
          <w:szCs w:val="24"/>
        </w:rPr>
      </w:pPr>
      <w:r w:rsidRPr="005C11B5">
        <w:rPr>
          <w:sz w:val="24"/>
          <w:szCs w:val="24"/>
        </w:rPr>
        <w:t>1.3Структура заемного капитала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330"/>
        <w:gridCol w:w="975"/>
        <w:gridCol w:w="974"/>
        <w:gridCol w:w="831"/>
      </w:tblGrid>
      <w:tr w:rsidR="00194114" w:rsidTr="00194114">
        <w:trPr>
          <w:trHeight w:val="1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4" w:rsidRDefault="00194114">
            <w:pPr>
              <w:pStyle w:val="3"/>
              <w:outlineLvl w:val="2"/>
              <w:rPr>
                <w:sz w:val="22"/>
                <w:szCs w:val="22"/>
                <w:lang w:eastAsia="en-US"/>
              </w:rPr>
            </w:pPr>
          </w:p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Показатель (название статей)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Изменение</w:t>
            </w:r>
          </w:p>
        </w:tc>
      </w:tr>
      <w:tr w:rsidR="00194114" w:rsidTr="00194114">
        <w:trPr>
          <w:trHeight w:val="1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4" w:rsidRDefault="00194114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 тыс. руб.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 % к заемному капиталу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тыс. руб. (гр.4-гр.2)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+/- </w:t>
            </w:r>
            <w:r>
              <w:rPr>
                <w:b w:val="0"/>
                <w:sz w:val="22"/>
                <w:szCs w:val="22"/>
                <w:lang w:eastAsia="en-US"/>
              </w:rPr>
              <w:t>% ((р.4-гр.2)гр.2</w:t>
            </w:r>
          </w:p>
        </w:tc>
      </w:tr>
      <w:tr w:rsidR="00194114" w:rsidTr="00194114">
        <w:trPr>
          <w:trHeight w:val="19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4" w:rsidRDefault="00194114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31.12.</w:t>
            </w:r>
          </w:p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31.12.</w:t>
            </w:r>
          </w:p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31.12</w:t>
            </w:r>
          </w:p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 начало анализируемого периода(31.12.2012)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 конец анализируемого периода (31.12.2014)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4" w:rsidRDefault="00194114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4" w:rsidRDefault="001941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4114" w:rsidTr="00194114">
        <w:trPr>
          <w:trHeight w:val="1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1.</w:t>
            </w:r>
            <w:r>
              <w:rPr>
                <w:b w:val="0"/>
                <w:sz w:val="22"/>
                <w:szCs w:val="22"/>
                <w:lang w:eastAsia="en-US"/>
              </w:rPr>
              <w:t>Долгосрочные кредиты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23932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13920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13259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color w:val="FF0000"/>
                <w:sz w:val="22"/>
                <w:szCs w:val="22"/>
                <w:lang w:eastAsia="en-US"/>
              </w:rPr>
              <w:t>10 673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color w:val="FF0000"/>
                <w:sz w:val="22"/>
                <w:szCs w:val="22"/>
                <w:lang w:eastAsia="en-US"/>
              </w:rPr>
              <w:t>44,6</w:t>
            </w:r>
          </w:p>
        </w:tc>
      </w:tr>
      <w:tr w:rsidR="00194114" w:rsidTr="00194114">
        <w:trPr>
          <w:trHeight w:val="1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2. Краткосрочные кредиты без учета доходов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183458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1759280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2095945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261187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jc w:val="center"/>
              <w:outlineLvl w:val="2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14,2</w:t>
            </w:r>
          </w:p>
        </w:tc>
      </w:tr>
      <w:tr w:rsidR="00194114" w:rsidTr="00194114">
        <w:trPr>
          <w:trHeight w:val="1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 Заемный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1858690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1773200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2109204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4" w:rsidRDefault="00194114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250514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4" w:rsidRDefault="00194114">
            <w:pPr>
              <w:pStyle w:val="3"/>
              <w:outlineLvl w:val="2"/>
              <w:rPr>
                <w:sz w:val="22"/>
                <w:szCs w:val="22"/>
                <w:lang w:eastAsia="en-US"/>
              </w:rPr>
            </w:pPr>
          </w:p>
        </w:tc>
      </w:tr>
    </w:tbl>
    <w:p w:rsidR="00194114" w:rsidRDefault="00194114" w:rsidP="00194114">
      <w:pPr>
        <w:pStyle w:val="3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  В структуре заемных средств наибольшую долю занимают краткосрочные кредиты.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  <w:shd w:val="clear" w:color="auto" w:fill="FFFFFF"/>
        </w:rPr>
        <w:t xml:space="preserve">     За отчетный год наибольший прирост наблюдается у краткосрочных заемных средств.</w:t>
      </w:r>
    </w:p>
    <w:p w:rsidR="00194114" w:rsidRDefault="00194114" w:rsidP="00194114">
      <w:pPr>
        <w:pStyle w:val="3"/>
        <w:rPr>
          <w:b w:val="0"/>
          <w:sz w:val="24"/>
          <w:szCs w:val="24"/>
        </w:rPr>
      </w:pPr>
      <w:r>
        <w:rPr>
          <w:noProof/>
          <w:color w:val="000000" w:themeColor="text1"/>
        </w:rPr>
        <w:drawing>
          <wp:inline distT="0" distB="0" distL="0" distR="0" wp14:anchorId="219FC233" wp14:editId="08E9E317">
            <wp:extent cx="5334000" cy="2524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4114" w:rsidRPr="005C11B5" w:rsidRDefault="00194114" w:rsidP="00194114">
      <w:pPr>
        <w:pStyle w:val="3"/>
        <w:jc w:val="center"/>
        <w:rPr>
          <w:sz w:val="24"/>
          <w:szCs w:val="24"/>
        </w:rPr>
      </w:pPr>
      <w:r w:rsidRPr="005C11B5">
        <w:rPr>
          <w:sz w:val="24"/>
          <w:szCs w:val="24"/>
        </w:rPr>
        <w:t>1.4. Анализ финансовой устойчивости компании</w:t>
      </w:r>
    </w:p>
    <w:p w:rsidR="00194114" w:rsidRPr="005C11B5" w:rsidRDefault="00194114" w:rsidP="00194114">
      <w:pPr>
        <w:pStyle w:val="4"/>
        <w:jc w:val="center"/>
      </w:pPr>
      <w:r w:rsidRPr="005C11B5">
        <w:t>1.4.1. Основные показатели финансовой устойчивости компании</w:t>
      </w:r>
    </w:p>
    <w:tbl>
      <w:tblPr>
        <w:tblW w:w="492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39"/>
        <w:gridCol w:w="998"/>
        <w:gridCol w:w="998"/>
        <w:gridCol w:w="865"/>
        <w:gridCol w:w="854"/>
        <w:gridCol w:w="3424"/>
      </w:tblGrid>
      <w:tr w:rsidR="00194114" w:rsidTr="005C11B5">
        <w:trPr>
          <w:trHeight w:val="146"/>
          <w:jc w:val="center"/>
        </w:trPr>
        <w:tc>
          <w:tcPr>
            <w:tcW w:w="11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показателя</w:t>
            </w:r>
            <w:r>
              <w:rPr>
                <w:rFonts w:ascii="Times New Roman" w:hAnsi="Times New Roman" w:cs="Times New Roman"/>
              </w:rPr>
              <w:br/>
              <w:t>(гр.4-гр.2)</w:t>
            </w:r>
          </w:p>
        </w:tc>
        <w:tc>
          <w:tcPr>
            <w:tcW w:w="18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показателя и его нормативное значение</w:t>
            </w:r>
          </w:p>
        </w:tc>
      </w:tr>
      <w:tr w:rsidR="00194114" w:rsidTr="005C11B5">
        <w:trPr>
          <w:trHeight w:val="146"/>
          <w:jc w:val="center"/>
        </w:trPr>
        <w:tc>
          <w:tcPr>
            <w:tcW w:w="11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C62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</w:p>
          <w:p w:rsidR="00194114" w:rsidRDefault="00194114" w:rsidP="003F6C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C62" w:rsidRDefault="00194114" w:rsidP="003F6C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</w:p>
          <w:p w:rsidR="00194114" w:rsidRDefault="00194114" w:rsidP="003F6C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C62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4114" w:rsidTr="005C11B5">
        <w:trPr>
          <w:trHeight w:val="146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Коэффициент автономии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собственного капитала к общей сумме капитала.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 для данной отрасли: не менее 0,4 (оптимальное 0,5-0,7).</w:t>
            </w:r>
          </w:p>
        </w:tc>
      </w:tr>
      <w:tr w:rsidR="00194114" w:rsidTr="005C11B5">
        <w:trPr>
          <w:trHeight w:val="1151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Коэффициент финансового левериджа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заемного капитала к собственному.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 для данной отрасли: 1,5 и менее (оптимальное 0,43-1).</w:t>
            </w:r>
          </w:p>
        </w:tc>
      </w:tr>
      <w:tr w:rsidR="00194114" w:rsidTr="005C11B5">
        <w:trPr>
          <w:trHeight w:val="1171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09D3">
              <w:rPr>
                <w:rFonts w:ascii="Times New Roman" w:hAnsi="Times New Roman" w:cs="Times New Roman"/>
              </w:rPr>
              <w:t>3. Коэффициент обеспеченности собственными оборотными средствами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собственных оборотных средств к оборотным активам.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значение: не менее 0,1.</w:t>
            </w:r>
          </w:p>
        </w:tc>
      </w:tr>
      <w:tr w:rsidR="00194114" w:rsidTr="005C11B5">
        <w:trPr>
          <w:trHeight w:val="1184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Индекс постоянного актива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0,16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стоимости внеоборотных активов к величине собственного капитала организации.</w:t>
            </w:r>
          </w:p>
        </w:tc>
      </w:tr>
      <w:tr w:rsidR="00194114" w:rsidTr="005C11B5">
        <w:trPr>
          <w:trHeight w:val="947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Коэффициент покрытия инвестиций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0,01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собственного капитала и долгосрочных обязательств к общей сумме капитала.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значение: 0,7 и более.</w:t>
            </w:r>
          </w:p>
        </w:tc>
      </w:tr>
      <w:tr w:rsidR="00194114" w:rsidTr="005C11B5">
        <w:trPr>
          <w:trHeight w:val="1014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Коэффициент маневренности собственного капитала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собственных оборотных средств к источникам собственных средств.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 для данной отрасли: 0,1 и более.</w:t>
            </w:r>
          </w:p>
        </w:tc>
      </w:tr>
      <w:tr w:rsidR="00194114" w:rsidTr="005C11B5">
        <w:trPr>
          <w:trHeight w:val="798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Коэффициент мобильности имущества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оборотных средств к стоимости всего имущества. Характеризует отраслевую специфику организации.</w:t>
            </w:r>
          </w:p>
        </w:tc>
      </w:tr>
      <w:tr w:rsidR="00194114" w:rsidTr="005C11B5">
        <w:trPr>
          <w:trHeight w:val="1085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Коэффициент мобильности оборотных средств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&lt;0,01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&lt;0,01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0,01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наиболее мобильной части оборотных средств (денежных средств и финансовых вложений) к общей стоимости оборотных активов.</w:t>
            </w:r>
          </w:p>
        </w:tc>
      </w:tr>
      <w:tr w:rsidR="00194114" w:rsidTr="005C11B5">
        <w:trPr>
          <w:trHeight w:val="710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Коэффициент обеспеченности запасов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собственных оборотных средств к стоимости запасов.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значение: не менее 0,5.</w:t>
            </w:r>
          </w:p>
        </w:tc>
      </w:tr>
      <w:tr w:rsidR="00194114" w:rsidTr="005C11B5">
        <w:trPr>
          <w:trHeight w:val="926"/>
          <w:jc w:val="center"/>
        </w:trPr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Коэффициент краткосрочной задолженности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краткосрочной задолженности к общей сумме задолженности.</w:t>
            </w:r>
          </w:p>
        </w:tc>
      </w:tr>
    </w:tbl>
    <w:p w:rsidR="00194114" w:rsidRDefault="00194114" w:rsidP="00194114">
      <w:pPr>
        <w:pStyle w:val="a4"/>
        <w:spacing w:before="0" w:beforeAutospacing="0" w:after="0" w:afterAutospacing="0"/>
      </w:pPr>
    </w:p>
    <w:p w:rsidR="00194114" w:rsidRDefault="00194114" w:rsidP="00194114">
      <w:pPr>
        <w:pStyle w:val="a4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Коэффициент автономии </w:t>
      </w:r>
      <w:r>
        <w:t xml:space="preserve">компании </w:t>
      </w:r>
      <w:r>
        <w:rPr>
          <w:shd w:val="clear" w:color="auto" w:fill="FFFFFF"/>
        </w:rPr>
        <w:t xml:space="preserve">по состоянию на 2014 год составил 0.59%. </w:t>
      </w:r>
      <w:r>
        <w:t>Данный коэффициент характеризует степень зависимости компании</w:t>
      </w:r>
      <w:r w:rsidR="003F6C62">
        <w:t xml:space="preserve"> </w:t>
      </w:r>
      <w:r>
        <w:t xml:space="preserve">от заемного капитала. </w:t>
      </w:r>
      <w:r>
        <w:rPr>
          <w:shd w:val="clear" w:color="auto" w:fill="FFFFFF"/>
        </w:rPr>
        <w:t>Полученное значение свидетельствует о хорошем балансе собственного и заемного капитала, данный показатель свидетельствует о хорошем финансовом положении. Коэффициент выше нормативного значения 0,5, при котором заемный капитал может быть компенсирован собственностью предприятия.</w:t>
      </w:r>
      <w:r>
        <w:t xml:space="preserve"> Полученное здесь значение говорит о не высокой доле собственного капитала (29,8%) в общем капитале.</w:t>
      </w:r>
    </w:p>
    <w:p w:rsidR="00194114" w:rsidRDefault="00194114" w:rsidP="00194114">
      <w:pPr>
        <w:pStyle w:val="a4"/>
        <w:spacing w:before="0" w:beforeAutospacing="0" w:after="0" w:afterAutospacing="0"/>
        <w:jc w:val="both"/>
      </w:pPr>
      <w:r>
        <w:t>Структура капитала компании</w:t>
      </w:r>
      <w:r w:rsidR="003F6C62">
        <w:t xml:space="preserve"> </w:t>
      </w:r>
      <w:r>
        <w:t>представлена ниже на диаграмме:</w:t>
      </w:r>
    </w:p>
    <w:p w:rsidR="00194114" w:rsidRDefault="00194114" w:rsidP="00194114">
      <w:pPr>
        <w:pStyle w:val="a4"/>
        <w:spacing w:before="0" w:beforeAutospacing="0" w:after="0" w:afterAutospacing="0" w:line="276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94114" w:rsidRDefault="00194114" w:rsidP="00194114">
      <w:pPr>
        <w:pStyle w:val="a4"/>
        <w:spacing w:before="0" w:beforeAutospacing="0" w:after="0" w:afterAutospacing="0"/>
      </w:pPr>
      <w:r>
        <w:rPr>
          <w:noProof/>
          <w:color w:val="333333"/>
        </w:rPr>
        <w:drawing>
          <wp:inline distT="0" distB="0" distL="0" distR="0" wp14:anchorId="0FB9A48D" wp14:editId="5FEA7BBB">
            <wp:extent cx="4543425" cy="16573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94114" w:rsidRDefault="00194114" w:rsidP="00194114">
      <w:pPr>
        <w:pStyle w:val="a4"/>
        <w:spacing w:before="0" w:beforeAutospacing="0" w:after="0" w:afterAutospacing="0"/>
        <w:jc w:val="both"/>
      </w:pPr>
      <w:r>
        <w:t xml:space="preserve">    Коэффициент обеспеченности собственными оборотными</w:t>
      </w:r>
      <w:r>
        <w:rPr>
          <w:shd w:val="clear" w:color="auto" w:fill="FFFFFF"/>
        </w:rPr>
        <w:t xml:space="preserve"> за анализируемый период (31.12.12-31.12.14) в средствами вырос на 0.12% и составил 0.33%. Коэфф</w:t>
      </w:r>
      <w:r w:rsidR="006409D3">
        <w:rPr>
          <w:shd w:val="clear" w:color="auto" w:fill="FFFFFF"/>
        </w:rPr>
        <w:t xml:space="preserve">ициент имеет </w:t>
      </w:r>
      <w:r w:rsidR="006409D3">
        <w:rPr>
          <w:shd w:val="clear" w:color="auto" w:fill="FFFFFF"/>
        </w:rPr>
        <w:lastRenderedPageBreak/>
        <w:t xml:space="preserve">удовлетворительное </w:t>
      </w:r>
      <w:proofErr w:type="gramStart"/>
      <w:r>
        <w:rPr>
          <w:shd w:val="clear" w:color="auto" w:fill="FFFFFF"/>
        </w:rPr>
        <w:t xml:space="preserve">значение.   </w:t>
      </w:r>
      <w:proofErr w:type="gramEnd"/>
      <w:r>
        <w:rPr>
          <w:color w:val="FFFFFF" w:themeColor="background1"/>
          <w:shd w:val="clear" w:color="auto" w:fill="FFFFFF"/>
        </w:rPr>
        <w:t>.</w:t>
      </w:r>
      <w:r>
        <w:br/>
      </w:r>
      <w:r w:rsidR="006409D3">
        <w:rPr>
          <w:shd w:val="clear" w:color="auto" w:fill="FFFFFF"/>
        </w:rPr>
        <w:t xml:space="preserve">      </w:t>
      </w:r>
      <w:r>
        <w:rPr>
          <w:shd w:val="clear" w:color="auto" w:fill="FFFFFF"/>
        </w:rPr>
        <w:t>За рассматриваемый период (31.12.12-31.12.14) отмечен спад коэффициента покрытия инвестиций на 0.01% и на 31.12.2014год составил 0.59%. Значени</w:t>
      </w:r>
      <w:r w:rsidR="005C11B5">
        <w:rPr>
          <w:shd w:val="clear" w:color="auto" w:fill="FFFFFF"/>
        </w:rPr>
        <w:t xml:space="preserve">е коэффициента не соответствует </w:t>
      </w:r>
      <w:r w:rsidR="006409D3">
        <w:rPr>
          <w:shd w:val="clear" w:color="auto" w:fill="FFFFFF"/>
        </w:rPr>
        <w:t xml:space="preserve">норме.  </w:t>
      </w:r>
      <w:r>
        <w:rPr>
          <w:shd w:val="clear" w:color="auto" w:fill="FFFFFF"/>
        </w:rPr>
        <w:t xml:space="preserve">                   </w:t>
      </w:r>
      <w:r>
        <w:rPr>
          <w:color w:val="FFFFFF" w:themeColor="background1"/>
          <w:shd w:val="clear" w:color="auto" w:fill="FFFFFF"/>
        </w:rPr>
        <w:t xml:space="preserve"> .</w:t>
      </w:r>
      <w:r>
        <w:rPr>
          <w:shd w:val="clear" w:color="auto" w:fill="FFFFFF"/>
        </w:rPr>
        <w:t xml:space="preserve">   </w:t>
      </w:r>
      <w:r>
        <w:rPr>
          <w:color w:val="FFFFFF" w:themeColor="background1"/>
          <w:shd w:val="clear" w:color="auto" w:fill="FFFFFF"/>
        </w:rPr>
        <w:t>.</w:t>
      </w:r>
      <w:r>
        <w:br/>
      </w:r>
      <w:r w:rsidR="006409D3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Значение коэффициента обеспеченности материальных запасов по состоянию на 31.12.2014 год составило 1.3%. </w:t>
      </w:r>
      <w:r>
        <w:t>За два года коэффициент обеспеченности материальных запасов</w:t>
      </w:r>
      <w:r>
        <w:rPr>
          <w:shd w:val="clear" w:color="auto" w:fill="FFFFFF"/>
        </w:rPr>
        <w:t xml:space="preserve"> имеет рост коэффициента составил 0.6%</w:t>
      </w:r>
      <w:r>
        <w:t>. Коэффициент сохранял нормальные значения в течение всего рассматриваемого периода. На 31 декабря 2014 г. значение коэффициента обеспеченности материальных запасов можно характеризовать как очень хорошее.</w:t>
      </w:r>
    </w:p>
    <w:p w:rsidR="00194114" w:rsidRDefault="00194114" w:rsidP="00194114">
      <w:pPr>
        <w:pStyle w:val="a4"/>
        <w:spacing w:before="0" w:beforeAutospacing="0" w:after="0" w:afterAutospacing="0"/>
        <w:jc w:val="both"/>
      </w:pPr>
      <w:r>
        <w:t xml:space="preserve">    По коэффициенту краткосрочной задолженности видно, что на 31 декабря 2014 г. доля краткосрочной задолженности в общих долгах компании</w:t>
      </w:r>
      <w:r w:rsidR="003F6C62">
        <w:t xml:space="preserve"> </w:t>
      </w:r>
      <w:r>
        <w:t>составляет 69,7%. При этом в течение анализируемого периода (31.12.12–31.12.14) доля краткосрочной задолженности выросла на 14,2</w:t>
      </w:r>
      <w:proofErr w:type="gramStart"/>
      <w:r>
        <w:t>%</w:t>
      </w:r>
      <w:r w:rsidR="003F6C62">
        <w:t xml:space="preserve"> </w:t>
      </w:r>
      <w:r>
        <w:t>.</w:t>
      </w:r>
      <w:proofErr w:type="gramEnd"/>
      <w:r w:rsidR="006409D3">
        <w:t xml:space="preserve"> </w:t>
      </w:r>
      <w:r>
        <w:t>Коэффициент краткосрочной задолженности показывает преобладание краткосрочных источников в структуре заемных средств, что является негативным фактом, который характеризует ухудшение структуры баланса и повышение риска утраты финансовой устойчивости.</w:t>
      </w:r>
    </w:p>
    <w:p w:rsidR="00194114" w:rsidRDefault="00194114" w:rsidP="00194114">
      <w:pPr>
        <w:pStyle w:val="a4"/>
        <w:spacing w:before="0" w:beforeAutospacing="0"/>
        <w:jc w:val="both"/>
      </w:pPr>
      <w:r>
        <w:t xml:space="preserve">     Ниже на графике представлено изменение основных показателей финансовой устойчивости Общества с Ограниченной Ответственностью нефтяная компания «Роснефть-Сахалинморнефтегаз» (ООО «РН-Сахалинморнефтегаз») в течение анализируемого периода (31.12.12–31.12.14):</w:t>
      </w:r>
    </w:p>
    <w:p w:rsidR="00194114" w:rsidRDefault="00194114" w:rsidP="00194114">
      <w:pPr>
        <w:pStyle w:val="4"/>
        <w:rPr>
          <w:sz w:val="28"/>
          <w:szCs w:val="28"/>
        </w:rPr>
      </w:pPr>
      <w:r>
        <w:rPr>
          <w:noProof/>
        </w:rPr>
        <w:drawing>
          <wp:inline distT="0" distB="0" distL="0" distR="0" wp14:anchorId="41998BDA" wp14:editId="3A96F8A5">
            <wp:extent cx="5162550" cy="27717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94114" w:rsidRDefault="00194114" w:rsidP="0019411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1.4.2. Анализ финансовой устойчивости по величине излишка (недостатка) собственных оборотных средств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278"/>
        <w:gridCol w:w="1281"/>
        <w:gridCol w:w="1586"/>
        <w:gridCol w:w="1059"/>
        <w:gridCol w:w="1059"/>
        <w:gridCol w:w="1057"/>
      </w:tblGrid>
      <w:tr w:rsidR="00194114" w:rsidTr="006409D3">
        <w:trPr>
          <w:jc w:val="center"/>
        </w:trPr>
        <w:tc>
          <w:tcPr>
            <w:tcW w:w="17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собственных оборотных средств (СОС)</w:t>
            </w:r>
          </w:p>
        </w:tc>
        <w:tc>
          <w:tcPr>
            <w:tcW w:w="1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Излишек (недостаток)</w:t>
            </w:r>
            <w:r>
              <w:rPr>
                <w:rStyle w:val="snoska"/>
                <w:rFonts w:ascii="Times New Roman" w:hAnsi="Times New Roman" w:cs="Times New Roman"/>
              </w:rPr>
              <w:t>*</w:t>
            </w:r>
          </w:p>
        </w:tc>
      </w:tr>
      <w:tr w:rsidR="00194114" w:rsidTr="006409D3">
        <w:trPr>
          <w:jc w:val="center"/>
        </w:trPr>
        <w:tc>
          <w:tcPr>
            <w:tcW w:w="17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анализируемого периода (31.12.2012)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анализируемого периода (31.12.2014)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31.12.2012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31.12.2013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31.12.2014</w:t>
            </w:r>
          </w:p>
        </w:tc>
      </w:tr>
      <w:tr w:rsidR="00194114" w:rsidTr="006409D3">
        <w:trPr>
          <w:jc w:val="center"/>
        </w:trPr>
        <w:tc>
          <w:tcPr>
            <w:tcW w:w="1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4114" w:rsidTr="006409D3">
        <w:trPr>
          <w:jc w:val="center"/>
        </w:trPr>
        <w:tc>
          <w:tcPr>
            <w:tcW w:w="1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  СОС</w:t>
            </w:r>
            <w:r w:rsidRPr="006409D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 xml:space="preserve"> (рассчитан без учета долгосрочных и краткосрочных 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пассивов)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460 305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1 008117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233 655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345 106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229 362</w:t>
            </w:r>
          </w:p>
        </w:tc>
      </w:tr>
      <w:tr w:rsidR="00194114" w:rsidTr="006409D3">
        <w:trPr>
          <w:jc w:val="center"/>
        </w:trPr>
        <w:tc>
          <w:tcPr>
            <w:tcW w:w="1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</w:t>
            </w:r>
            <w:r w:rsidRPr="006409D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СОС</w:t>
            </w:r>
            <w:r w:rsidRPr="006409D3">
              <w:rPr>
                <w:rStyle w:val="a6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(рассчитан с учетом долгосрочных пассивов; фактически равен чистому оборотному капиталу.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484 237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1 014444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209 723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359 026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242 621</w:t>
            </w:r>
          </w:p>
        </w:tc>
      </w:tr>
      <w:tr w:rsidR="00194114" w:rsidTr="006409D3">
        <w:trPr>
          <w:jc w:val="center"/>
        </w:trPr>
        <w:tc>
          <w:tcPr>
            <w:tcW w:w="1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  СОС</w:t>
            </w:r>
            <w:r w:rsidRPr="006409D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 xml:space="preserve"> (рассчитанные с учетом как долгосрочных пассивов, так и краткосрочной задолженности по кредитам и займам)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484 237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1 014444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209 723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359 026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242 621</w:t>
            </w:r>
          </w:p>
        </w:tc>
      </w:tr>
    </w:tbl>
    <w:p w:rsidR="00194114" w:rsidRDefault="00194114" w:rsidP="0019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*Излишек (недостаток) СОС рассчитывается как разница между собственными оборотными средствами и величиной запасов и затрат.</w:t>
      </w:r>
    </w:p>
    <w:p w:rsidR="00194114" w:rsidRDefault="003F6C62" w:rsidP="0019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114">
        <w:rPr>
          <w:rFonts w:ascii="Times New Roman" w:hAnsi="Times New Roman" w:cs="Times New Roman"/>
          <w:sz w:val="24"/>
          <w:szCs w:val="24"/>
        </w:rPr>
        <w:t>Поскольку по состоянию на 31.12.2014 наблюдается прирост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114">
        <w:rPr>
          <w:rFonts w:ascii="Times New Roman" w:hAnsi="Times New Roman" w:cs="Times New Roman"/>
          <w:sz w:val="24"/>
          <w:szCs w:val="24"/>
        </w:rPr>
        <w:t>собственных оборотных средств, рассчитанных по трем вариантам (СОС</w:t>
      </w:r>
      <w:r w:rsidR="006409D3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="006409D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6409D3" w:rsidRPr="006409D3">
        <w:rPr>
          <w:rStyle w:val="a6"/>
          <w:rFonts w:ascii="Times New Roman" w:hAnsi="Times New Roman" w:cs="Times New Roman"/>
          <w:b w:val="0"/>
          <w:sz w:val="24"/>
          <w:szCs w:val="24"/>
        </w:rPr>
        <w:t>СОС</w:t>
      </w:r>
      <w:r w:rsidR="00194114" w:rsidRPr="006409D3">
        <w:rPr>
          <w:rStyle w:val="a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="00194114">
        <w:rPr>
          <w:rStyle w:val="a6"/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194114">
        <w:rPr>
          <w:rFonts w:ascii="Times New Roman" w:hAnsi="Times New Roman" w:cs="Times New Roman"/>
          <w:sz w:val="24"/>
          <w:szCs w:val="24"/>
        </w:rPr>
        <w:t>СОС</w:t>
      </w:r>
      <w:r w:rsidR="001941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94114">
        <w:rPr>
          <w:rFonts w:ascii="Times New Roman" w:hAnsi="Times New Roman" w:cs="Times New Roman"/>
          <w:sz w:val="24"/>
          <w:szCs w:val="24"/>
        </w:rPr>
        <w:t>), финансовое положение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114">
        <w:rPr>
          <w:rFonts w:ascii="Times New Roman" w:hAnsi="Times New Roman" w:cs="Times New Roman"/>
          <w:sz w:val="24"/>
          <w:szCs w:val="24"/>
        </w:rPr>
        <w:t>по данному признаку можно характеризовать как хорошее.</w:t>
      </w:r>
    </w:p>
    <w:p w:rsidR="00194114" w:rsidRDefault="00194114" w:rsidP="00194114">
      <w:pPr>
        <w:pStyle w:val="a4"/>
      </w:pPr>
      <w:r>
        <w:rPr>
          <w:noProof/>
        </w:rPr>
        <w:drawing>
          <wp:inline distT="0" distB="0" distL="0" distR="0" wp14:anchorId="4CCDB299" wp14:editId="0A497D90">
            <wp:extent cx="5495925" cy="24669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4114" w:rsidRDefault="00194114" w:rsidP="00194114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1.5. Анализ ликвидности</w:t>
      </w:r>
    </w:p>
    <w:p w:rsidR="00194114" w:rsidRDefault="00194114" w:rsidP="0019411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1.5.1. Расчет коэффициентов ликвидности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992"/>
        <w:gridCol w:w="1143"/>
        <w:gridCol w:w="1162"/>
        <w:gridCol w:w="1101"/>
        <w:gridCol w:w="1167"/>
        <w:gridCol w:w="2849"/>
      </w:tblGrid>
      <w:tr w:rsidR="00194114" w:rsidTr="006409D3">
        <w:trPr>
          <w:jc w:val="center"/>
        </w:trPr>
        <w:tc>
          <w:tcPr>
            <w:tcW w:w="10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ликвидности</w:t>
            </w:r>
          </w:p>
        </w:tc>
        <w:tc>
          <w:tcPr>
            <w:tcW w:w="18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6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показателя</w:t>
            </w:r>
            <w:r>
              <w:rPr>
                <w:rFonts w:ascii="Times New Roman" w:hAnsi="Times New Roman" w:cs="Times New Roman"/>
              </w:rPr>
              <w:br/>
              <w:t>(гр.4 - гр.2)</w:t>
            </w:r>
          </w:p>
        </w:tc>
        <w:tc>
          <w:tcPr>
            <w:tcW w:w="1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Расчет, рекомендованное значение</w:t>
            </w:r>
          </w:p>
        </w:tc>
      </w:tr>
      <w:tr w:rsidR="00194114" w:rsidTr="006409D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6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4114" w:rsidTr="006409D3">
        <w:trPr>
          <w:trHeight w:val="206"/>
          <w:jc w:val="center"/>
        </w:trPr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4114" w:rsidTr="006409D3">
        <w:trPr>
          <w:trHeight w:val="1275"/>
          <w:jc w:val="center"/>
        </w:trPr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Коэффициент текущей (общей) ликвидности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текущих активов к краткосрочным обязательствам.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значение: не менее 2.</w:t>
            </w:r>
          </w:p>
        </w:tc>
      </w:tr>
      <w:tr w:rsidR="00194114" w:rsidTr="006409D3">
        <w:trPr>
          <w:jc w:val="center"/>
        </w:trPr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Коэффициент быстрой (промежуточной) ликвидности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ликвидных активов к краткосрочным обязательствам.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значение: 1 и более.</w:t>
            </w:r>
          </w:p>
        </w:tc>
      </w:tr>
      <w:tr w:rsidR="00194114" w:rsidTr="006409D3">
        <w:trPr>
          <w:trHeight w:val="1389"/>
          <w:jc w:val="center"/>
        </w:trPr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Коэффициент абсолютной ликвидности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0,0002</w:t>
            </w: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0,0003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0,00004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0,0002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Pr="006409D3" w:rsidRDefault="001941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D3">
              <w:rPr>
                <w:rFonts w:ascii="Times New Roman" w:hAnsi="Times New Roman" w:cs="Times New Roman"/>
                <w:sz w:val="20"/>
                <w:szCs w:val="20"/>
              </w:rPr>
              <w:t>Отношение высоколиквидных активов к краткосрочным обязательствам.</w:t>
            </w:r>
            <w:r w:rsidRPr="006409D3">
              <w:rPr>
                <w:rFonts w:ascii="Times New Roman" w:hAnsi="Times New Roman" w:cs="Times New Roman"/>
                <w:sz w:val="20"/>
                <w:szCs w:val="20"/>
              </w:rPr>
              <w:br/>
              <w:t>Нормальное значение: 0,2 и более.</w:t>
            </w:r>
          </w:p>
        </w:tc>
      </w:tr>
    </w:tbl>
    <w:p w:rsidR="00194114" w:rsidRDefault="00194114" w:rsidP="00194114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94114" w:rsidRDefault="00194114" w:rsidP="003F6C62">
      <w:pPr>
        <w:pStyle w:val="a4"/>
        <w:spacing w:before="0" w:beforeAutospacing="0" w:after="0" w:afterAutospacing="0"/>
        <w:jc w:val="both"/>
      </w:pPr>
      <w:r>
        <w:t xml:space="preserve">      По состоянию на 31.12.2014 </w:t>
      </w:r>
      <w:r>
        <w:rPr>
          <w:shd w:val="clear" w:color="auto" w:fill="FFFFFF"/>
        </w:rPr>
        <w:t xml:space="preserve">значение коэффициента быстрой (промежуточной) ликвидности выше нормального уровня, имеет значение 1,1. Это говорит о том, что ООО «РН-Сахалинморнефтегаз» в периоде, равном продолжительности одного оборота дебиторской задолженности, в состоянии покрыть свои краткосрочные </w:t>
      </w:r>
      <w:proofErr w:type="spellStart"/>
      <w:r>
        <w:rPr>
          <w:shd w:val="clear" w:color="auto" w:fill="FFFFFF"/>
        </w:rPr>
        <w:t>обязательства.</w:t>
      </w:r>
      <w:r>
        <w:t>В</w:t>
      </w:r>
      <w:proofErr w:type="spellEnd"/>
      <w:r>
        <w:t xml:space="preserve"> тоже время за рассматриваемый период (31.12.12–31.12.14) коэффициент увеличился на 0,25.                   </w:t>
      </w:r>
      <w:r>
        <w:br/>
      </w:r>
      <w:r>
        <w:rPr>
          <w:shd w:val="clear" w:color="auto" w:fill="FFFFFF"/>
        </w:rPr>
        <w:t xml:space="preserve">        Значение коэффициента абсолютной ликвидности оказалось ниже допустимого, что говорит о том, что </w:t>
      </w:r>
      <w:r>
        <w:t>компания</w:t>
      </w:r>
      <w:r w:rsidR="006409D3">
        <w:t xml:space="preserve"> </w:t>
      </w:r>
      <w:r>
        <w:rPr>
          <w:shd w:val="clear" w:color="auto" w:fill="FFFFFF"/>
        </w:rPr>
        <w:t xml:space="preserve">не в полной мере обеспечено средствами для своевременного погашения наиболее срочных обязательств за счет наиболее ликвидных активов.                                 </w:t>
      </w:r>
      <w:r>
        <w:br/>
      </w:r>
      <w:r>
        <w:rPr>
          <w:shd w:val="clear" w:color="auto" w:fill="FFFFFF"/>
        </w:rPr>
        <w:t xml:space="preserve">     Коэффициент текущей (общей) ликвидности на конец анализируемого периода (31.12.2014) находится ниже нормативного значения, равен 1,5, что говорит о том, что </w:t>
      </w:r>
      <w:r>
        <w:t>компания</w:t>
      </w:r>
      <w:r w:rsidR="006409D3">
        <w:t xml:space="preserve"> </w:t>
      </w:r>
      <w:r>
        <w:rPr>
          <w:shd w:val="clear" w:color="auto" w:fill="FFFFFF"/>
        </w:rPr>
        <w:t xml:space="preserve">не в полной мере обеспечено собственными средствами для ведения хозяйственной деятельности и своевременного погашения срочных обязательств.                         </w:t>
      </w:r>
      <w:r>
        <w:br/>
      </w:r>
      <w:r>
        <w:rPr>
          <w:shd w:val="clear" w:color="auto" w:fill="FFFFFF"/>
        </w:rPr>
        <w:t xml:space="preserve">     Показатель утраты платежеспособности говорит о том, сможет ли предприятие в ближайшие три месяца сохранить текущую ликвидность.</w:t>
      </w:r>
      <w:r>
        <w:br/>
      </w:r>
      <w:proofErr w:type="spellStart"/>
      <w:r>
        <w:rPr>
          <w:shd w:val="clear" w:color="auto" w:fill="FFFFFF"/>
        </w:rPr>
        <w:t>Кутр.платеж</w:t>
      </w:r>
      <w:proofErr w:type="spellEnd"/>
      <w:r>
        <w:rPr>
          <w:shd w:val="clear" w:color="auto" w:fill="FFFFFF"/>
        </w:rPr>
        <w:t>. = (</w:t>
      </w:r>
      <w:proofErr w:type="spellStart"/>
      <w:r>
        <w:rPr>
          <w:shd w:val="clear" w:color="auto" w:fill="FFFFFF"/>
        </w:rPr>
        <w:t>К</w:t>
      </w:r>
      <w:r>
        <w:rPr>
          <w:shd w:val="clear" w:color="auto" w:fill="FFFFFF"/>
          <w:vertAlign w:val="subscript"/>
        </w:rPr>
        <w:t>ТЛкп</w:t>
      </w:r>
      <w:proofErr w:type="spellEnd"/>
      <w:r>
        <w:rPr>
          <w:shd w:val="clear" w:color="auto" w:fill="FFFFFF"/>
        </w:rPr>
        <w:t> + 3 / Т * (</w:t>
      </w:r>
      <w:proofErr w:type="spellStart"/>
      <w:r>
        <w:rPr>
          <w:shd w:val="clear" w:color="auto" w:fill="FFFFFF"/>
        </w:rPr>
        <w:t>К</w:t>
      </w:r>
      <w:r>
        <w:rPr>
          <w:shd w:val="clear" w:color="auto" w:fill="FFFFFF"/>
          <w:vertAlign w:val="subscript"/>
        </w:rPr>
        <w:t>ТЛкп</w:t>
      </w:r>
      <w:proofErr w:type="spellEnd"/>
      <w:r>
        <w:rPr>
          <w:shd w:val="clear" w:color="auto" w:fill="FFFFFF"/>
        </w:rPr>
        <w:t xml:space="preserve"> – </w:t>
      </w:r>
      <w:proofErr w:type="spellStart"/>
      <w:r>
        <w:rPr>
          <w:shd w:val="clear" w:color="auto" w:fill="FFFFFF"/>
        </w:rPr>
        <w:t>К</w:t>
      </w:r>
      <w:r>
        <w:rPr>
          <w:shd w:val="clear" w:color="auto" w:fill="FFFFFF"/>
          <w:vertAlign w:val="subscript"/>
        </w:rPr>
        <w:t>ТЛнп</w:t>
      </w:r>
      <w:proofErr w:type="spellEnd"/>
      <w:r>
        <w:rPr>
          <w:shd w:val="clear" w:color="auto" w:fill="FFFFFF"/>
        </w:rPr>
        <w:t xml:space="preserve">) / 2                                    </w:t>
      </w:r>
      <w:proofErr w:type="gramStart"/>
      <w:r>
        <w:rPr>
          <w:shd w:val="clear" w:color="auto" w:fill="FFFFFF"/>
        </w:rPr>
        <w:t xml:space="preserve"> </w:t>
      </w:r>
      <w:r>
        <w:rPr>
          <w:color w:val="FFFFFF" w:themeColor="background1"/>
          <w:shd w:val="clear" w:color="auto" w:fill="FFFFFF"/>
        </w:rPr>
        <w:t>..</w:t>
      </w:r>
      <w:proofErr w:type="gramEnd"/>
      <w:r>
        <w:br/>
      </w:r>
      <w:proofErr w:type="spellStart"/>
      <w:r>
        <w:rPr>
          <w:shd w:val="clear" w:color="auto" w:fill="FFFFFF"/>
        </w:rPr>
        <w:t>Кутр.платеж</w:t>
      </w:r>
      <w:proofErr w:type="spellEnd"/>
      <w:r>
        <w:rPr>
          <w:shd w:val="clear" w:color="auto" w:fill="FFFFFF"/>
        </w:rPr>
        <w:t xml:space="preserve">. = (1.487 + 1 / 4 * (1.487 - 1.504)) / 2 = 0.74.                                </w:t>
      </w:r>
      <w:r>
        <w:rPr>
          <w:color w:val="FFFFFF" w:themeColor="background1"/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     На конец периода значение показателя меньше 1, что говорит о том, что предприятие не сможет сохранить свою платежеспособность.</w:t>
      </w:r>
    </w:p>
    <w:p w:rsidR="00194114" w:rsidRPr="003F6C62" w:rsidRDefault="00194114" w:rsidP="003F6C62">
      <w:pPr>
        <w:pStyle w:val="a4"/>
      </w:pPr>
      <w:r>
        <w:rPr>
          <w:noProof/>
        </w:rPr>
        <w:drawing>
          <wp:inline distT="0" distB="0" distL="0" distR="0" wp14:anchorId="4062B8F5" wp14:editId="265E58F6">
            <wp:extent cx="4762500" cy="20669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94114" w:rsidRDefault="00194114" w:rsidP="0019411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1.5.2. Анализ соотношения активов по степени ликвидности и обязательств по сроку погашения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706"/>
        <w:gridCol w:w="1001"/>
        <w:gridCol w:w="1000"/>
        <w:gridCol w:w="715"/>
        <w:gridCol w:w="1810"/>
        <w:gridCol w:w="971"/>
        <w:gridCol w:w="972"/>
        <w:gridCol w:w="1239"/>
      </w:tblGrid>
      <w:tr w:rsidR="00194114" w:rsidTr="006409D3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Активы по степени ликвидности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</w:t>
            </w:r>
            <w:proofErr w:type="spellStart"/>
            <w:r>
              <w:rPr>
                <w:rFonts w:ascii="Times New Roman" w:hAnsi="Times New Roman" w:cs="Times New Roman"/>
              </w:rPr>
              <w:t>отчетногопериода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>тыс. руб.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за анализ.</w:t>
            </w:r>
            <w:r>
              <w:rPr>
                <w:rFonts w:ascii="Times New Roman" w:hAnsi="Times New Roman" w:cs="Times New Roman"/>
              </w:rPr>
              <w:br/>
              <w:t>период, %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Норм. соотношение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Пассивы по сроку погашения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отчетного периода, </w:t>
            </w:r>
            <w:r>
              <w:rPr>
                <w:rFonts w:ascii="Times New Roman" w:hAnsi="Times New Roman" w:cs="Times New Roman"/>
                <w:iCs/>
              </w:rPr>
              <w:t>тыс. руб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за анализ.</w:t>
            </w:r>
            <w:r>
              <w:rPr>
                <w:rFonts w:ascii="Times New Roman" w:hAnsi="Times New Roman" w:cs="Times New Roman"/>
              </w:rPr>
              <w:br/>
              <w:t>период, %</w:t>
            </w:r>
          </w:p>
        </w:tc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Излишек/</w:t>
            </w:r>
            <w:r>
              <w:rPr>
                <w:rFonts w:ascii="Times New Roman" w:hAnsi="Times New Roman" w:cs="Times New Roman"/>
              </w:rPr>
              <w:br/>
              <w:t>недостаток</w:t>
            </w:r>
            <w:r>
              <w:rPr>
                <w:rFonts w:ascii="Times New Roman" w:hAnsi="Times New Roman" w:cs="Times New Roman"/>
              </w:rPr>
              <w:br/>
              <w:t>платеж. средств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руб.,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гр.2 - гр.6)</w:t>
            </w:r>
          </w:p>
        </w:tc>
      </w:tr>
      <w:tr w:rsidR="00194114" w:rsidTr="006409D3">
        <w:trPr>
          <w:trHeight w:val="1623"/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А1. Высоколиквидные активы (</w:t>
            </w:r>
            <w:proofErr w:type="spellStart"/>
            <w:r>
              <w:rPr>
                <w:rFonts w:ascii="Times New Roman" w:hAnsi="Times New Roman" w:cs="Times New Roman"/>
              </w:rPr>
              <w:t>ден</w:t>
            </w:r>
            <w:proofErr w:type="spellEnd"/>
            <w:r>
              <w:rPr>
                <w:rFonts w:ascii="Times New Roman" w:hAnsi="Times New Roman" w:cs="Times New Roman"/>
              </w:rPr>
              <w:t>. ср-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 w:rsidR="006409D3">
              <w:rPr>
                <w:rFonts w:ascii="Times New Roman" w:hAnsi="Times New Roman" w:cs="Times New Roman"/>
              </w:rPr>
              <w:t xml:space="preserve"> + краткосрочные фин. вложения)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&lt;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П1. Наиболее срочные обязательства (привлеченные средства) (</w:t>
            </w:r>
            <w:proofErr w:type="spellStart"/>
            <w:r>
              <w:rPr>
                <w:rFonts w:ascii="Times New Roman" w:hAnsi="Times New Roman" w:cs="Times New Roman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задолж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1 958053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15,1</w:t>
            </w:r>
          </w:p>
        </w:tc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  <w:color w:val="FF0000"/>
              </w:rPr>
              <w:t>1 957960</w:t>
            </w:r>
          </w:p>
        </w:tc>
      </w:tr>
      <w:tr w:rsidR="00194114" w:rsidTr="006409D3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А2. Быстрореализуемые активы (краткосрочная </w:t>
            </w:r>
            <w:proofErr w:type="spellStart"/>
            <w:r>
              <w:rPr>
                <w:rFonts w:ascii="Times New Roman" w:hAnsi="Times New Roman" w:cs="Times New Roman"/>
              </w:rPr>
              <w:t>деб</w:t>
            </w:r>
            <w:proofErr w:type="spellEnd"/>
            <w:r>
              <w:rPr>
                <w:rFonts w:ascii="Times New Roman" w:hAnsi="Times New Roman" w:cs="Times New Roman"/>
              </w:rPr>
              <w:t>. задолженность)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2 292713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≥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П2. Среднесрочные обязательства (</w:t>
            </w:r>
            <w:proofErr w:type="spellStart"/>
            <w:r>
              <w:rPr>
                <w:rFonts w:ascii="Times New Roman" w:hAnsi="Times New Roman" w:cs="Times New Roman"/>
              </w:rPr>
              <w:t>краткосроч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обязательства кроме </w:t>
            </w:r>
            <w:proofErr w:type="spellStart"/>
            <w:r>
              <w:rPr>
                <w:rFonts w:ascii="Times New Roman" w:hAnsi="Times New Roman" w:cs="Times New Roman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кредит. </w:t>
            </w:r>
            <w:proofErr w:type="spellStart"/>
            <w:r>
              <w:rPr>
                <w:rFonts w:ascii="Times New Roman" w:hAnsi="Times New Roman" w:cs="Times New Roman"/>
              </w:rPr>
              <w:t>задолж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137 892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3,06</w:t>
            </w:r>
          </w:p>
        </w:tc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</w:rPr>
              <w:t>2 154821</w:t>
            </w:r>
          </w:p>
        </w:tc>
      </w:tr>
      <w:tr w:rsidR="00194114" w:rsidTr="006409D3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А3. Медленно реализуемые активы (прочие </w:t>
            </w:r>
            <w:proofErr w:type="spellStart"/>
            <w:r>
              <w:rPr>
                <w:rFonts w:ascii="Times New Roman" w:hAnsi="Times New Roman" w:cs="Times New Roman"/>
              </w:rPr>
              <w:t>оборот.активы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824 515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≥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П3. Долгосрочные обязательства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13 259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45,03</w:t>
            </w:r>
          </w:p>
        </w:tc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</w:rPr>
              <w:t>811 359</w:t>
            </w:r>
          </w:p>
        </w:tc>
      </w:tr>
      <w:tr w:rsidR="00194114" w:rsidTr="006409D3">
        <w:trPr>
          <w:jc w:val="center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А4. Труднореализуемые активы (</w:t>
            </w:r>
            <w:proofErr w:type="spellStart"/>
            <w:r>
              <w:rPr>
                <w:rFonts w:ascii="Times New Roman" w:hAnsi="Times New Roman" w:cs="Times New Roman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активы)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2 008055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≤</w:t>
            </w:r>
          </w:p>
        </w:tc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114" w:rsidRDefault="001941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П4. Постоянные пассивы (собственный капитал)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3 006343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11,91</w:t>
            </w:r>
          </w:p>
        </w:tc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114" w:rsidRDefault="00194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a6"/>
                <w:color w:val="FF0000"/>
              </w:rPr>
              <w:t>998 288</w:t>
            </w:r>
          </w:p>
        </w:tc>
      </w:tr>
    </w:tbl>
    <w:p w:rsidR="00194114" w:rsidRDefault="00194114" w:rsidP="00194114">
      <w:pPr>
        <w:pStyle w:val="a4"/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t xml:space="preserve">Из четырех соотношений, характеризующих наличие ликвидных активов у компании, выполняются все, кроме одного. </w:t>
      </w:r>
      <w:r>
        <w:rPr>
          <w:shd w:val="clear" w:color="auto" w:fill="FFFFFF"/>
        </w:rPr>
        <w:t xml:space="preserve">В соответствии с принципами оптимальной структуры активов по степени ликвидности, краткосрочной дебиторской задолженности должно быть достаточно для покрытия среднесрочных обязательств (краткосрочной задолженности за минусом текущей кредиторской задолженности). В данном случае это соотношение выполняется – у </w:t>
      </w:r>
      <w:r>
        <w:t>компании</w:t>
      </w:r>
      <w:r w:rsidR="006409D3">
        <w:t xml:space="preserve"> </w:t>
      </w:r>
      <w:r>
        <w:rPr>
          <w:shd w:val="clear" w:color="auto" w:fill="FFFFFF"/>
        </w:rPr>
        <w:t>достаточно краткосрочной дебиторской задолженности для погаше</w:t>
      </w:r>
      <w:r w:rsidR="006409D3">
        <w:rPr>
          <w:shd w:val="clear" w:color="auto" w:fill="FFFFFF"/>
        </w:rPr>
        <w:t>ния среднесрочных обязательств.</w:t>
      </w:r>
    </w:p>
    <w:p w:rsidR="003F6C62" w:rsidRDefault="003F6C62" w:rsidP="003F6C62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3F6C62" w:rsidRPr="003F6C62" w:rsidRDefault="003F6C62" w:rsidP="003F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было рассмотрено в данной работе, в условиях рыночной экономике значение прибыли огромно. Стремление к получению прибыли ориентирует товаропроизводителей на увеличение объема производства продукции, нужной потребителю, снижение затрат на производство. При развитой конкуренции этим достигается не только цель предпринимательства, но и удовлетворение общественных потребностей. Для предпринимателя прибыль является сигналом, указывающим, где можно добиться наибольшего прироста стоимости, создает стимул для инвестирования в эти сферы. </w:t>
      </w:r>
      <w:r w:rsidR="006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производственной, инвестиционной и финансовой деятельности предприятия выражается в достигнутых финансовых результатах.</w:t>
      </w:r>
    </w:p>
    <w:p w:rsidR="003F6C62" w:rsidRPr="003F6C62" w:rsidRDefault="003F6C62" w:rsidP="003F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Обобщив информацию, собранную для написания исследовательской работы делаем следующие выводы: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«РН-Сахалинморнефтегаз» в отчетном 2015 году получило прибыль в 14760890 тыс. руб. </w:t>
      </w:r>
    </w:p>
    <w:p w:rsidR="003F6C62" w:rsidRPr="003F6C62" w:rsidRDefault="003F6C62" w:rsidP="003F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рассчитанным показателям рентабельности предприятие является рентабельным. Прибыль от реализации продукции (работ, услуг) на один вкладываемый рубль составила 1,43 руб., и по сравнению с прошлым годом прибыль на один рубль повысилась на 1,2 руб. Один рубль вложенный в активы предприятия принес 14,85 руб. </w:t>
      </w: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прибыли. Показатель повысился на 4,8 руб. по сравнению с прошлым годом, т.е.  активы используются очень эффективно. </w:t>
      </w:r>
    </w:p>
    <w:p w:rsidR="003F6C62" w:rsidRDefault="003F6C62" w:rsidP="003F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«РН-Сахалинморнефтегаз» располагает достаточными резервами увеличения прибыли от реализации продукции и прежде всего за счет снижения производственной себестоимости реализации, а также за счет возрастания удельного веса в объеме реализации более рентабельных услуг. На предприятии наблюдается умелое управление капиталом. Налицо также тенденция к увеличение финансовой устойчивости предприятия. </w:t>
      </w:r>
    </w:p>
    <w:p w:rsidR="005C11B5" w:rsidRDefault="005C11B5" w:rsidP="003F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B5" w:rsidRPr="003F6C62" w:rsidRDefault="005C11B5" w:rsidP="003F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62" w:rsidRPr="003F6C62" w:rsidRDefault="003F6C62" w:rsidP="003F6C6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C62" w:rsidRPr="003F6C62" w:rsidRDefault="003F6C62" w:rsidP="003F6C6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F6C62" w:rsidRPr="003F6C62" w:rsidRDefault="003F6C62" w:rsidP="003F6C6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Бухгалтерский учет. Официальные материалы. М.: ИНФРА-М, 2007. – с.207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Балабанов И.Т. Финансовый анализ и планирование хозяйствующего субъекта. – 2-е изд., доп. – М.: Финансы и статистика, 2009. – с. 235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о порядке формирования показателей бухгалтерской отчетности организации. Утверждены приказом Минфина РФ от 28.07.2007 г. № 60н.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Козлова Е.П., Бабченко Т.Н., Галанина Е.Н. Распределение прибыли организаций // Приложение к журналу «Бухгалтерский учет». – 2006. – № 4. – с. 51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Теория бухгалтерского учета. — М., 2006. – с. 236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Положение по бухгалтерскому учету «Доходы организации» ПБУ9/99 (утв. Приказом Минфина РФ от 27.11.2006 г.)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Бехтерева Е.В. Порядок признания доходов и расходов в бухгалтерском учете и для целей налогообложения //Горячая линия бухгалтера. 2007. – №15. – с. 38-40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Бахтерева</w:t>
      </w:r>
      <w:proofErr w:type="spellEnd"/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Формирование показателей Отчета о прибылях и убытках «Доходы и расходы по обычным видам деятельности // Горячая линия бухгалтера. – 2007. - №12. – с. 25 – 27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Положение по бухгалтерскому учету «Бухгалтерская отчетность предприятия» ПБУ 4/99 Приказ Минфина РФ от 6 июля 1999 г. №43н с изменениями от 18 сентября 2006 г., 8 ноября 2010 г.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Положение по бухгалтерскому учету «Расходы организации» ПБУ 10/99 (утв. Приказом Минфина РФ от 06.05.1999 г. №33н с изменениями от 27.11.2006 г.)</w:t>
      </w:r>
    </w:p>
    <w:p w:rsidR="003F6C62" w:rsidRPr="003F6C62" w:rsidRDefault="003F6C62" w:rsidP="003F6C6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Астахов В.П. Годовая бухгалтерская отчетность за 2001 год и организация учета в 2006году. М – 2007 г. – с. 121</w:t>
      </w:r>
    </w:p>
    <w:p w:rsidR="00194114" w:rsidRPr="003F6C62" w:rsidRDefault="00194114" w:rsidP="003F6C62">
      <w:pPr>
        <w:pStyle w:val="a4"/>
        <w:jc w:val="both"/>
        <w:rPr>
          <w:shd w:val="clear" w:color="auto" w:fill="FFFFFF"/>
        </w:rPr>
      </w:pPr>
    </w:p>
    <w:p w:rsidR="00194114" w:rsidRDefault="00194114" w:rsidP="00194114">
      <w:pPr>
        <w:pStyle w:val="a4"/>
        <w:jc w:val="both"/>
        <w:rPr>
          <w:shd w:val="clear" w:color="auto" w:fill="FFFFFF"/>
        </w:rPr>
      </w:pPr>
    </w:p>
    <w:p w:rsidR="00194114" w:rsidRDefault="00194114" w:rsidP="00194114">
      <w:pPr>
        <w:pStyle w:val="a4"/>
        <w:jc w:val="both"/>
        <w:rPr>
          <w:shd w:val="clear" w:color="auto" w:fill="FFFFFF"/>
        </w:rPr>
      </w:pPr>
    </w:p>
    <w:p w:rsidR="00625B79" w:rsidRDefault="00625B79"/>
    <w:sectPr w:rsidR="00625B79" w:rsidSect="004A4C5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34" w:rsidRDefault="00874834" w:rsidP="004A4C59">
      <w:pPr>
        <w:spacing w:after="0" w:line="240" w:lineRule="auto"/>
      </w:pPr>
      <w:r>
        <w:separator/>
      </w:r>
    </w:p>
  </w:endnote>
  <w:endnote w:type="continuationSeparator" w:id="0">
    <w:p w:rsidR="00874834" w:rsidRDefault="00874834" w:rsidP="004A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59" w:rsidRDefault="004A4C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209791"/>
      <w:docPartObj>
        <w:docPartGallery w:val="Page Numbers (Bottom of Page)"/>
        <w:docPartUnique/>
      </w:docPartObj>
    </w:sdtPr>
    <w:sdtEndPr/>
    <w:sdtContent>
      <w:p w:rsidR="004A4C59" w:rsidRDefault="004A4C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9C">
          <w:rPr>
            <w:noProof/>
          </w:rPr>
          <w:t>1</w:t>
        </w:r>
        <w:r>
          <w:fldChar w:fldCharType="end"/>
        </w:r>
      </w:p>
    </w:sdtContent>
  </w:sdt>
  <w:p w:rsidR="004A4C59" w:rsidRDefault="004A4C5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59" w:rsidRDefault="004A4C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34" w:rsidRDefault="00874834" w:rsidP="004A4C59">
      <w:pPr>
        <w:spacing w:after="0" w:line="240" w:lineRule="auto"/>
      </w:pPr>
      <w:r>
        <w:separator/>
      </w:r>
    </w:p>
  </w:footnote>
  <w:footnote w:type="continuationSeparator" w:id="0">
    <w:p w:rsidR="00874834" w:rsidRDefault="00874834" w:rsidP="004A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59" w:rsidRDefault="004A4C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59" w:rsidRDefault="004A4C5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59" w:rsidRDefault="004A4C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4D"/>
    <w:rsid w:val="001921E4"/>
    <w:rsid w:val="00194114"/>
    <w:rsid w:val="002B799C"/>
    <w:rsid w:val="003F6C62"/>
    <w:rsid w:val="004A4C59"/>
    <w:rsid w:val="005A6C5C"/>
    <w:rsid w:val="005C11B5"/>
    <w:rsid w:val="00625B79"/>
    <w:rsid w:val="006409D3"/>
    <w:rsid w:val="006975E5"/>
    <w:rsid w:val="00874834"/>
    <w:rsid w:val="008B034D"/>
    <w:rsid w:val="009551F8"/>
    <w:rsid w:val="00AD1F9A"/>
    <w:rsid w:val="00DC5B9C"/>
    <w:rsid w:val="00E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D0CDA-0BF1-4402-B4A1-A903423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14"/>
    <w:pPr>
      <w:spacing w:line="256" w:lineRule="auto"/>
    </w:pPr>
  </w:style>
  <w:style w:type="paragraph" w:styleId="1">
    <w:name w:val="heading 1"/>
    <w:basedOn w:val="a"/>
    <w:link w:val="10"/>
    <w:uiPriority w:val="99"/>
    <w:qFormat/>
    <w:rsid w:val="00194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94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1941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94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94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1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114"/>
  </w:style>
  <w:style w:type="character" w:customStyle="1" w:styleId="snoska">
    <w:name w:val="snoska"/>
    <w:basedOn w:val="a0"/>
    <w:uiPriority w:val="99"/>
    <w:rsid w:val="00194114"/>
  </w:style>
  <w:style w:type="table" w:styleId="a5">
    <w:name w:val="Table Grid"/>
    <w:basedOn w:val="a1"/>
    <w:uiPriority w:val="39"/>
    <w:rsid w:val="0019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941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921E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5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C59"/>
  </w:style>
  <w:style w:type="paragraph" w:styleId="ac">
    <w:name w:val="footer"/>
    <w:basedOn w:val="a"/>
    <w:link w:val="ad"/>
    <w:uiPriority w:val="99"/>
    <w:unhideWhenUsed/>
    <w:rsid w:val="004A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egalsystemltd.ru/index.php?option=com_content&amp;task=findkey&amp;keyref=afhd" TargetMode="External"/><Relationship Id="rId18" Type="http://schemas.openxmlformats.org/officeDocument/2006/relationships/chart" Target="charts/chart2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5.xml"/><Relationship Id="rId7" Type="http://schemas.openxmlformats.org/officeDocument/2006/relationships/image" Target="media/image1.jpeg"/><Relationship Id="rId12" Type="http://schemas.openxmlformats.org/officeDocument/2006/relationships/hyperlink" Target="http://legalsystemltd.ru/index.php?option=com_content&amp;task=findkey&amp;keyref=afhd" TargetMode="External"/><Relationship Id="rId17" Type="http://schemas.openxmlformats.org/officeDocument/2006/relationships/chart" Target="charts/chart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galsystemltd.ru/index.php?option=com_content&amp;task=findkey&amp;keyref=afhd" TargetMode="External"/><Relationship Id="rId20" Type="http://schemas.openxmlformats.org/officeDocument/2006/relationships/chart" Target="charts/chart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systemltd.ru/index.php?option=com_content&amp;task=findkey&amp;keyref=afhd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legalsystemltd.ru/index.php?option=com_content&amp;task=findkey&amp;keyref=afh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legalsystemltd.ru/index.php?option=com_content&amp;task=findkey&amp;keyref=afhd" TargetMode="Externa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http://legalsystemltd.ru/index.php?option=com_content&amp;task=findkey&amp;keyref=afhd" TargetMode="External"/><Relationship Id="rId14" Type="http://schemas.openxmlformats.org/officeDocument/2006/relationships/hyperlink" Target="http://legalsystemltd.ru/index.php?option=com_content&amp;task=findkey&amp;keyref=afhd" TargetMode="External"/><Relationship Id="rId22" Type="http://schemas.openxmlformats.org/officeDocument/2006/relationships/chart" Target="charts/chart6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чистых активов и уставного капитала</a:t>
            </a:r>
          </a:p>
        </c:rich>
      </c:tx>
      <c:layout>
        <c:manualLayout>
          <c:xMode val="edge"/>
          <c:yMode val="edge"/>
          <c:x val="0.188396945173519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527978273549139"/>
          <c:y val="0.1255338904363974"/>
          <c:w val="0.75925725430154567"/>
          <c:h val="0.54883191133141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Чистые активы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2695222</c:v>
                </c:pt>
                <c:pt idx="1">
                  <c:v>2964533</c:v>
                </c:pt>
                <c:pt idx="2">
                  <c:v>3016275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Уставный капитал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2879435</c:v>
                </c:pt>
                <c:pt idx="1">
                  <c:v>2879435</c:v>
                </c:pt>
                <c:pt idx="2">
                  <c:v>2879435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0653240"/>
        <c:axId val="160676296"/>
      </c:barChart>
      <c:dateAx>
        <c:axId val="16065324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676296"/>
        <c:crosses val="autoZero"/>
        <c:auto val="1"/>
        <c:lblOffset val="100"/>
        <c:baseTimeUnit val="years"/>
      </c:dateAx>
      <c:valAx>
        <c:axId val="16067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Капитал,</a:t>
                </a:r>
                <a:r>
                  <a:rPr lang="ru-RU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тыс. руб</a:t>
                </a:r>
                <a:endParaRPr lang="ru-RU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653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заемного капитала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Заемный капитал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2013г</c:v>
                </c:pt>
                <c:pt idx="1">
                  <c:v>2014г.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1773200</c:v>
                </c:pt>
                <c:pt idx="1">
                  <c:v>2109204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Долгосрочные кредиты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2013г</c:v>
                </c:pt>
                <c:pt idx="1">
                  <c:v>2014г.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13920</c:v>
                </c:pt>
                <c:pt idx="1">
                  <c:v>13259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Краткосрочные кредиты без учета доходов будущих периодов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2013г</c:v>
                </c:pt>
                <c:pt idx="1">
                  <c:v>2014г.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1759280</c:v>
                </c:pt>
                <c:pt idx="1">
                  <c:v>2095945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26478976"/>
        <c:axId val="126479360"/>
        <c:axId val="0"/>
      </c:bar3DChart>
      <c:catAx>
        <c:axId val="12647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479360"/>
        <c:crosses val="autoZero"/>
        <c:auto val="1"/>
        <c:lblAlgn val="ctr"/>
        <c:lblOffset val="100"/>
        <c:noMultiLvlLbl val="0"/>
      </c:catAx>
      <c:valAx>
        <c:axId val="12647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тыс. руб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47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капитала </a:t>
            </a:r>
            <a:r>
              <a:rPr lang="ru-RU" sz="1200" b="1" i="0" u="none" strike="noStrike" baseline="0">
                <a:effectLst/>
              </a:rPr>
              <a:t>компании </a:t>
            </a:r>
            <a:r>
              <a:rPr lang="ru-RU"/>
              <a:t>на 31.12.2014 г.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капитала организации на 31.12.2014 г.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0277777777777624E-2"/>
                  <c:y val="-8.33333333333333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Краткосроч.</a:t>
                    </a:r>
                    <a:r>
                      <a:rPr lang="ru-RU" baseline="0"/>
                      <a:t> обязат-ва</a:t>
                    </a:r>
                    <a:r>
                      <a:rPr lang="ru-RU"/>
                      <a:t> (29,8%)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9E-2"/>
                  <c:y val="0.173160173160173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Собственные капитал (69,7%)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1064814814814822"/>
                  <c:y val="-3.463203463203463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Долгосроч.</a:t>
                    </a:r>
                    <a:r>
                      <a:rPr lang="ru-RU" baseline="0">
                        <a:solidFill>
                          <a:schemeClr val="tx1"/>
                        </a:solidFill>
                      </a:rPr>
                      <a:t> обязат-ва</a:t>
                    </a:r>
                    <a:r>
                      <a:rPr lang="ru-RU">
                        <a:solidFill>
                          <a:schemeClr val="tx1"/>
                        </a:solidFill>
                      </a:rPr>
                      <a:t>(0,5%)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Собственный капитал</c:v>
                </c:pt>
                <c:pt idx="1">
                  <c:v>Краткосроч. обязат-ва</c:v>
                </c:pt>
                <c:pt idx="2">
                  <c:v>Долгосроч. обязат-ва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29.8</c:v>
                </c:pt>
                <c:pt idx="1">
                  <c:v>69.7</c:v>
                </c:pt>
                <c:pt idx="2">
                  <c:v>0.45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показателей финансовой устойчивости </a:t>
            </a:r>
            <a:r>
              <a:rPr lang="ru-RU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компании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2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625400991542739E-2"/>
          <c:y val="0.22257936507936515"/>
          <c:w val="0.9138560804899386"/>
          <c:h val="0.71357799025121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автономии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0.59</c:v>
                </c:pt>
                <c:pt idx="1">
                  <c:v>0.63000000000000012</c:v>
                </c:pt>
                <c:pt idx="2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покрытия инвестиций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0.60000000000000009</c:v>
                </c:pt>
                <c:pt idx="1">
                  <c:v>0.63000000000000012</c:v>
                </c:pt>
                <c:pt idx="2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краткосрочной задолженности в общей сумме обязательств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888944"/>
        <c:axId val="160865336"/>
        <c:axId val="0"/>
      </c:bar3DChart>
      <c:catAx>
        <c:axId val="16088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865336"/>
        <c:crosses val="autoZero"/>
        <c:auto val="1"/>
        <c:lblAlgn val="ctr"/>
        <c:lblOffset val="100"/>
        <c:noMultiLvlLbl val="0"/>
      </c:catAx>
      <c:valAx>
        <c:axId val="160865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Значение показателя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88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36532152230971"/>
          <c:y val="0.21461040774158546"/>
          <c:w val="0.28334153543307083"/>
          <c:h val="0.618795522900063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Собственные оборотные средства (СОС) </a:t>
            </a:r>
            <a:r>
              <a:rPr lang="ru-RU" sz="1200" b="1" i="0" u="none" strike="noStrike" baseline="0">
                <a:effectLst/>
              </a:rPr>
              <a:t>компании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734762321376491"/>
          <c:y val="0.14718253968253969"/>
          <c:w val="0.81718941382327215"/>
          <c:h val="0.5300778027746532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СОС1(без учета долгосрочных и краткосрочных пассивов)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460305</c:v>
                </c:pt>
                <c:pt idx="1">
                  <c:v>873360</c:v>
                </c:pt>
                <c:pt idx="2">
                  <c:v>1008117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СОС2(с учетом долгосрочных пассивов)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484237</c:v>
                </c:pt>
                <c:pt idx="1">
                  <c:v>887280</c:v>
                </c:pt>
                <c:pt idx="2">
                  <c:v>1021273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СОС3(с учетом и долгосрочных пассивов и задолженности перед поставщиками)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484237</c:v>
                </c:pt>
                <c:pt idx="1">
                  <c:v>887280</c:v>
                </c:pt>
                <c:pt idx="2">
                  <c:v>1021773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783656"/>
        <c:axId val="126389520"/>
      </c:lineChart>
      <c:dateAx>
        <c:axId val="16078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31.12.12                                    31.12.13                                      31.12.14</a:t>
                </a:r>
              </a:p>
            </c:rich>
          </c:tx>
          <c:layout>
            <c:manualLayout>
              <c:xMode val="edge"/>
              <c:yMode val="edge"/>
              <c:x val="0.26070501603966179"/>
              <c:y val="0.677260342457193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dd/mm/yyyy" sourceLinked="1"/>
        <c:majorTickMark val="out"/>
        <c:minorTickMark val="none"/>
        <c:tickLblPos val="nextTo"/>
        <c:crossAx val="126389520"/>
        <c:crosses val="autoZero"/>
        <c:auto val="1"/>
        <c:lblOffset val="100"/>
        <c:baseTimeUnit val="years"/>
      </c:dateAx>
      <c:valAx>
        <c:axId val="12638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783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коэффициентов ликвидности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418753105192636"/>
          <c:y val="0.15511904761904766"/>
          <c:w val="0.8303496384175687"/>
          <c:h val="0.644318210223722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ликвидность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2.0000000000000004E-4</c:v>
                </c:pt>
                <c:pt idx="1">
                  <c:v>3.0000000000000003E-4</c:v>
                </c:pt>
                <c:pt idx="2">
                  <c:v>4.000000000000001E-5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Быстрая ликвидность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0.85000000000000009</c:v>
                </c:pt>
                <c:pt idx="1">
                  <c:v>1.2</c:v>
                </c:pt>
                <c:pt idx="2">
                  <c:v>1.1000000000000001</c:v>
                </c:pt>
                <c:pt idx="3">
                  <c:v>-0.30000000000000004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Текущая ликвидность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Лист1!$A$2:$A$5</c:f>
              <c:numCache>
                <c:formatCode>dd/mm/yyyy</c:formatCode>
                <c:ptCount val="4"/>
                <c:pt idx="0">
                  <c:v>41274</c:v>
                </c:pt>
                <c:pt idx="1">
                  <c:v>41639</c:v>
                </c:pt>
                <c:pt idx="2">
                  <c:v>42004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1.3</c:v>
                </c:pt>
                <c:pt idx="1">
                  <c:v>1.5</c:v>
                </c:pt>
                <c:pt idx="2">
                  <c:v>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65088"/>
        <c:axId val="161165480"/>
      </c:lineChart>
      <c:dateAx>
        <c:axId val="161165088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165480"/>
        <c:crosses val="autoZero"/>
        <c:auto val="1"/>
        <c:lblOffset val="100"/>
        <c:baseTimeUnit val="years"/>
      </c:dateAx>
      <c:valAx>
        <c:axId val="16116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Значение коэффициента ликвидности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16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0.2934</cdr:x>
      <cdr:y>0.14583</cdr:y>
    </cdr:from>
    <cdr:to>
      <cdr:x>0.2934</cdr:x>
      <cdr:y>0.67857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1609725" y="466725"/>
          <a:ext cx="0" cy="1704975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0.56424</cdr:x>
      <cdr:y>0.14881</cdr:y>
    </cdr:from>
    <cdr:to>
      <cdr:x>0.56424</cdr:x>
      <cdr:y>0.67857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3095625" y="476250"/>
          <a:ext cx="0" cy="169545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0.83854</cdr:x>
      <cdr:y>0.15179</cdr:y>
    </cdr:from>
    <cdr:to>
      <cdr:x>0.83854</cdr:x>
      <cdr:y>0.67857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4600575" y="485775"/>
          <a:ext cx="0" cy="1685925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0.25694</cdr:x>
      <cdr:y>0.15476</cdr:y>
    </cdr:from>
    <cdr:to>
      <cdr:x>0.25694</cdr:x>
      <cdr:y>0.73214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1409700" y="495300"/>
          <a:ext cx="0" cy="184785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0.54514</cdr:x>
      <cdr:y>0.15774</cdr:y>
    </cdr:from>
    <cdr:to>
      <cdr:x>0.54688</cdr:x>
      <cdr:y>0.73214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2990868" y="504839"/>
          <a:ext cx="9507" cy="1838311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0.82813</cdr:x>
      <cdr:y>0.15179</cdr:y>
    </cdr:from>
    <cdr:to>
      <cdr:x>0.82986</cdr:x>
      <cdr:y>0.72917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4543425" y="485789"/>
          <a:ext cx="9519" cy="1847836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0.83333</cdr:x>
      <cdr:y>0.71429</cdr:y>
    </cdr:from>
    <cdr:to>
      <cdr:x>1</cdr:x>
      <cdr:y>1</cdr:y>
    </cdr:to>
    <cdr:sp macro="" textlink="">
      <cdr:nvSpPr>
        <cdr:cNvPr id="12" name="Надпись 11"/>
        <cdr:cNvSpPr txBox="1"/>
      </cdr:nvSpPr>
      <cdr:spPr>
        <a:xfrm xmlns:a="http://schemas.openxmlformats.org/drawingml/2006/main">
          <a:off x="4724400" y="2562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0C4E-7351-4E3B-B6AF-AD29FE6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2016-11-13T15:30:00Z</dcterms:created>
  <dcterms:modified xsi:type="dcterms:W3CDTF">2016-11-15T15:37:00Z</dcterms:modified>
</cp:coreProperties>
</file>